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A3B2" w14:textId="77777777" w:rsidR="00CC2DD5" w:rsidRDefault="00CC2DD5" w:rsidP="00CC2DD5">
      <w:pPr>
        <w:jc w:val="center"/>
        <w:rPr>
          <w:rFonts w:ascii="Cambria" w:hAnsi="Cambria"/>
          <w:b/>
          <w:bCs/>
          <w:sz w:val="32"/>
          <w:szCs w:val="32"/>
        </w:rPr>
      </w:pPr>
      <w:proofErr w:type="spellStart"/>
      <w:r w:rsidRPr="00081B9E">
        <w:rPr>
          <w:rFonts w:ascii="Cambria" w:hAnsi="Cambria"/>
          <w:b/>
          <w:bCs/>
          <w:sz w:val="32"/>
          <w:szCs w:val="32"/>
        </w:rPr>
        <w:t>Endazhi-Nitaawiging</w:t>
      </w:r>
      <w:proofErr w:type="spellEnd"/>
      <w:r w:rsidRPr="00081B9E">
        <w:rPr>
          <w:rFonts w:ascii="Cambria" w:hAnsi="Cambria"/>
          <w:b/>
          <w:bCs/>
          <w:sz w:val="32"/>
          <w:szCs w:val="32"/>
        </w:rPr>
        <w:t xml:space="preserve"> </w:t>
      </w:r>
      <w:r w:rsidRPr="00081B9E">
        <w:rPr>
          <w:rFonts w:ascii="Cambria" w:hAnsi="Cambria"/>
          <w:b/>
          <w:bCs/>
          <w:sz w:val="32"/>
          <w:szCs w:val="32"/>
        </w:rPr>
        <w:br/>
        <w:t>School Board Policies &amp; Procedures Manual</w:t>
      </w:r>
      <w:r>
        <w:rPr>
          <w:rFonts w:ascii="Cambria" w:hAnsi="Cambria"/>
          <w:b/>
          <w:bCs/>
          <w:sz w:val="32"/>
          <w:szCs w:val="32"/>
        </w:rPr>
        <w:br/>
      </w:r>
      <w:r>
        <w:rPr>
          <w:rFonts w:ascii="Cambria" w:hAnsi="Cambria"/>
          <w:b/>
          <w:bCs/>
          <w:noProof/>
          <w:sz w:val="32"/>
          <w:szCs w:val="32"/>
        </w:rPr>
        <w:drawing>
          <wp:inline distT="0" distB="0" distL="0" distR="0" wp14:anchorId="4D7138B8" wp14:editId="4B846922">
            <wp:extent cx="1140541" cy="1073863"/>
            <wp:effectExtent l="0" t="0" r="2540" b="5715"/>
            <wp:docPr id="1" name="Picture 1" descr="A picture containing text, ceramic ware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eramic ware, porcelai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529" cy="114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89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CC2DD5" w14:paraId="341CC775" w14:textId="77777777" w:rsidTr="008D58D2">
        <w:tc>
          <w:tcPr>
            <w:tcW w:w="108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D882BF" w14:textId="21C3D01D" w:rsidR="00CC2DD5" w:rsidRPr="008D58D2" w:rsidRDefault="000D23F8" w:rsidP="00CC2D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</w:t>
            </w:r>
            <w:r w:rsidR="00E458AE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</w:rPr>
              <w:t>WORLD’S BEST WORKFORCE</w:t>
            </w:r>
          </w:p>
        </w:tc>
      </w:tr>
    </w:tbl>
    <w:p w14:paraId="33D97E24" w14:textId="6E38FA84" w:rsidR="008D58D2" w:rsidRDefault="008D58D2" w:rsidP="008D58D2">
      <w:pPr>
        <w:pStyle w:val="BodyText"/>
        <w:rPr>
          <w:b/>
          <w:sz w:val="20"/>
        </w:rPr>
      </w:pPr>
    </w:p>
    <w:p w14:paraId="39C8F08A" w14:textId="77777777" w:rsidR="008D58D2" w:rsidRDefault="008D58D2" w:rsidP="008D58D2">
      <w:pPr>
        <w:pStyle w:val="BodyText"/>
        <w:spacing w:before="3"/>
        <w:rPr>
          <w:b/>
          <w:sz w:val="20"/>
        </w:rPr>
      </w:pPr>
    </w:p>
    <w:p w14:paraId="68837BCB" w14:textId="1DAD1688" w:rsidR="000D23F8" w:rsidRPr="000D23F8" w:rsidRDefault="000D23F8" w:rsidP="000D23F8">
      <w:pPr>
        <w:pStyle w:val="BodyText"/>
        <w:tabs>
          <w:tab w:val="left" w:pos="2299"/>
        </w:tabs>
        <w:ind w:right="1735"/>
        <w:rPr>
          <w:b/>
          <w:bCs/>
        </w:rPr>
      </w:pPr>
      <w:r w:rsidRPr="000D23F8">
        <w:rPr>
          <w:b/>
          <w:bCs/>
        </w:rPr>
        <w:t>I. PURPOSE</w:t>
      </w:r>
    </w:p>
    <w:p w14:paraId="59FB743E" w14:textId="15FE85B5" w:rsidR="000D23F8" w:rsidRDefault="000D23F8" w:rsidP="000D23F8">
      <w:pPr>
        <w:pStyle w:val="BodyText"/>
        <w:tabs>
          <w:tab w:val="left" w:pos="2299"/>
        </w:tabs>
        <w:ind w:right="1735"/>
      </w:pPr>
      <w:r>
        <w:t xml:space="preserve">A. In accordance with Minnesota Statutes, Chapter 120B.11, the </w:t>
      </w:r>
      <w:proofErr w:type="spellStart"/>
      <w:r w:rsidR="0026475B">
        <w:t>Endazhi-Nitaawiging</w:t>
      </w:r>
      <w:proofErr w:type="spellEnd"/>
      <w:r w:rsidR="0026475B">
        <w:t xml:space="preserve"> </w:t>
      </w:r>
      <w:r>
        <w:t>Board</w:t>
      </w:r>
      <w:r w:rsidR="0026475B">
        <w:t xml:space="preserve"> </w:t>
      </w:r>
      <w:r>
        <w:t>of Directors, at a public meeting, will adopt a comprehensive, long-term strategic</w:t>
      </w:r>
      <w:r w:rsidR="0026475B">
        <w:t xml:space="preserve"> </w:t>
      </w:r>
      <w:r>
        <w:t>plan to support and improve teaching and learning that is aligned with creating the</w:t>
      </w:r>
      <w:r w:rsidR="0026475B">
        <w:t xml:space="preserve"> </w:t>
      </w:r>
      <w:r>
        <w:t>world's best workforce.</w:t>
      </w:r>
    </w:p>
    <w:p w14:paraId="1EA760DE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B. Minnesota schools strive to provide the best educational opportunities for all children.</w:t>
      </w:r>
    </w:p>
    <w:p w14:paraId="163BDF2C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Providing an education to Minnesota youth that leads to creating the world’s best</w:t>
      </w:r>
    </w:p>
    <w:p w14:paraId="11ED4925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workforce is a goal that must be addressed early in every child’s life. Students are more</w:t>
      </w:r>
    </w:p>
    <w:p w14:paraId="571BBFB8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likely to reach this goal if they are ready for school upon entering kindergarten; achieve</w:t>
      </w:r>
    </w:p>
    <w:p w14:paraId="5E96E749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grade level literacy by grade three; graduate from high school and attain career and</w:t>
      </w:r>
    </w:p>
    <w:p w14:paraId="5E33B582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college readiness.</w:t>
      </w:r>
    </w:p>
    <w:p w14:paraId="00C71BD7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C. In order to create the world’s best workforce, it is imperative that academic</w:t>
      </w:r>
    </w:p>
    <w:p w14:paraId="7183B1E3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achievement gaps are closed among all racial and ethnic groups of students and</w:t>
      </w:r>
    </w:p>
    <w:p w14:paraId="644C46CD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between students living in poverty and not living in poverty as well as for English</w:t>
      </w:r>
    </w:p>
    <w:p w14:paraId="5D451D15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language learners and non-English language learners and for students who receive or</w:t>
      </w:r>
    </w:p>
    <w:p w14:paraId="3F799D13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do not receive special education services.</w:t>
      </w:r>
    </w:p>
    <w:p w14:paraId="2C0CCDB5" w14:textId="0D77D23F" w:rsidR="000D23F8" w:rsidRDefault="000D23F8" w:rsidP="000D23F8">
      <w:pPr>
        <w:pStyle w:val="BodyText"/>
        <w:tabs>
          <w:tab w:val="left" w:pos="2299"/>
        </w:tabs>
        <w:ind w:right="1735"/>
      </w:pPr>
      <w:r>
        <w:t>D.</w:t>
      </w:r>
      <w:r w:rsidR="0026475B">
        <w:t xml:space="preserve"> </w:t>
      </w:r>
      <w:proofErr w:type="spellStart"/>
      <w:r w:rsidR="0026475B">
        <w:t>Endazhi-Nitaawiging’s</w:t>
      </w:r>
      <w:proofErr w:type="spellEnd"/>
      <w:r>
        <w:t xml:space="preserve"> comprehensive strategic is intended to serve as a foundational document to</w:t>
      </w:r>
      <w:r w:rsidR="0026475B">
        <w:t xml:space="preserve"> </w:t>
      </w:r>
      <w:r>
        <w:t>align educational initiatives that serve to ensure reaching intended student outcomes in</w:t>
      </w:r>
      <w:r w:rsidR="0026475B">
        <w:t xml:space="preserve"> </w:t>
      </w:r>
      <w:r>
        <w:t>all grades, and will be attached as an addendum to the policy.</w:t>
      </w:r>
      <w:r>
        <w:br/>
      </w:r>
    </w:p>
    <w:p w14:paraId="023C5B25" w14:textId="6D48FE73" w:rsidR="000D23F8" w:rsidRPr="000D23F8" w:rsidRDefault="000D23F8" w:rsidP="000D23F8">
      <w:pPr>
        <w:pStyle w:val="BodyText"/>
        <w:tabs>
          <w:tab w:val="left" w:pos="2299"/>
        </w:tabs>
        <w:ind w:right="1735"/>
        <w:rPr>
          <w:b/>
          <w:bCs/>
        </w:rPr>
      </w:pPr>
      <w:r w:rsidRPr="000D23F8">
        <w:rPr>
          <w:b/>
          <w:bCs/>
        </w:rPr>
        <w:t xml:space="preserve">II. DEFINITIONS </w:t>
      </w:r>
    </w:p>
    <w:p w14:paraId="60814B5E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A. "Instruction" means methods of providing learning experiences that enable a student</w:t>
      </w:r>
    </w:p>
    <w:p w14:paraId="5B354671" w14:textId="12E8502C" w:rsidR="000D23F8" w:rsidRDefault="000D23F8" w:rsidP="000D23F8">
      <w:pPr>
        <w:pStyle w:val="BodyText"/>
        <w:tabs>
          <w:tab w:val="left" w:pos="2299"/>
        </w:tabs>
        <w:ind w:right="1735"/>
      </w:pPr>
      <w:r>
        <w:t xml:space="preserve">to meet state and </w:t>
      </w:r>
      <w:r w:rsidR="0026475B">
        <w:t>school</w:t>
      </w:r>
      <w:r>
        <w:t xml:space="preserve"> academic standards and graduation requirements.</w:t>
      </w:r>
    </w:p>
    <w:p w14:paraId="0832DA72" w14:textId="36225702" w:rsidR="000D23F8" w:rsidRDefault="000D23F8" w:rsidP="000D23F8">
      <w:pPr>
        <w:pStyle w:val="BodyText"/>
        <w:tabs>
          <w:tab w:val="left" w:pos="2299"/>
        </w:tabs>
        <w:ind w:right="1735"/>
      </w:pPr>
      <w:r>
        <w:t>B. "Curriculum" means school adopted programs and written plans for</w:t>
      </w:r>
      <w:r w:rsidR="0026475B">
        <w:t xml:space="preserve"> </w:t>
      </w:r>
      <w:r>
        <w:t>providing students with learning experiences that lead to expected knowledge and skills</w:t>
      </w:r>
      <w:r w:rsidR="0026475B">
        <w:t xml:space="preserve"> </w:t>
      </w:r>
      <w:r>
        <w:t>and career and college readiness.</w:t>
      </w:r>
    </w:p>
    <w:p w14:paraId="21F2F6FF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C. "World's Best Workforce" means striving to: meet school readiness goals; have all</w:t>
      </w:r>
    </w:p>
    <w:p w14:paraId="00FA553B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third grade students achieve grade-level literacy; close the academic achievement gap</w:t>
      </w:r>
    </w:p>
    <w:p w14:paraId="2259F783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among all racial and ethnic groups of students and between students living in poverty</w:t>
      </w:r>
    </w:p>
    <w:p w14:paraId="70792B26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and students not living in poverty; have all students attain career and college readiness</w:t>
      </w:r>
    </w:p>
    <w:p w14:paraId="73794F18" w14:textId="0B223B2C" w:rsidR="000D23F8" w:rsidRDefault="000D23F8" w:rsidP="000D23F8">
      <w:pPr>
        <w:pStyle w:val="BodyText"/>
        <w:tabs>
          <w:tab w:val="left" w:pos="2299"/>
        </w:tabs>
        <w:ind w:right="1735"/>
      </w:pPr>
      <w:r>
        <w:t xml:space="preserve">before graduating from high </w:t>
      </w:r>
      <w:r w:rsidR="0026475B">
        <w:t>school,</w:t>
      </w:r>
      <w:r>
        <w:t xml:space="preserve"> and have all students graduate from high school.</w:t>
      </w:r>
      <w:r>
        <w:br/>
      </w:r>
    </w:p>
    <w:p w14:paraId="0FDC3EBD" w14:textId="153321CE" w:rsidR="000D23F8" w:rsidRPr="000D23F8" w:rsidRDefault="000D23F8" w:rsidP="000D23F8">
      <w:pPr>
        <w:pStyle w:val="BodyText"/>
        <w:tabs>
          <w:tab w:val="left" w:pos="2299"/>
        </w:tabs>
        <w:ind w:right="1735"/>
        <w:rPr>
          <w:b/>
          <w:bCs/>
        </w:rPr>
      </w:pPr>
      <w:r w:rsidRPr="000D23F8">
        <w:rPr>
          <w:b/>
          <w:bCs/>
        </w:rPr>
        <w:t>III. GENERAL STATEMENT OF POLICY</w:t>
      </w:r>
    </w:p>
    <w:p w14:paraId="0F5F853F" w14:textId="3B44B4C4" w:rsidR="000D23F8" w:rsidRDefault="000D23F8" w:rsidP="000D23F8">
      <w:pPr>
        <w:pStyle w:val="BodyText"/>
        <w:tabs>
          <w:tab w:val="left" w:pos="2299"/>
        </w:tabs>
        <w:ind w:right="1735"/>
      </w:pPr>
      <w:r>
        <w:t>A. Performance measures used to determine school and school site progress in</w:t>
      </w:r>
    </w:p>
    <w:p w14:paraId="5E877848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striving to create the world's best workforce must include at least:</w:t>
      </w:r>
    </w:p>
    <w:p w14:paraId="0E1E5D6B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1. Student performance on the National Association of Education Progress;</w:t>
      </w:r>
    </w:p>
    <w:p w14:paraId="3DF27DA1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2. The size of the academic achievement gap by student subgroup;</w:t>
      </w:r>
    </w:p>
    <w:p w14:paraId="1ACA6654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3. Student performance on the Minnesota Comprehensive Assessments;</w:t>
      </w:r>
    </w:p>
    <w:p w14:paraId="61C45A03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4. High school graduation rates; and</w:t>
      </w:r>
    </w:p>
    <w:p w14:paraId="44BE1974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5. Career and college readiness under Minnesota Statutes, Chapter 120B.30,</w:t>
      </w:r>
    </w:p>
    <w:p w14:paraId="4BE3545A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lastRenderedPageBreak/>
        <w:t>Subdivision 1.</w:t>
      </w:r>
    </w:p>
    <w:p w14:paraId="6B27D909" w14:textId="47796531" w:rsidR="000D23F8" w:rsidRDefault="000D23F8" w:rsidP="000D23F8">
      <w:pPr>
        <w:pStyle w:val="BodyText"/>
        <w:tabs>
          <w:tab w:val="left" w:pos="2299"/>
        </w:tabs>
        <w:ind w:right="1735"/>
      </w:pPr>
      <w:r>
        <w:t xml:space="preserve">B. The </w:t>
      </w:r>
      <w:proofErr w:type="spellStart"/>
      <w:r w:rsidR="0026475B">
        <w:t>Endazhi-Nitaawiging</w:t>
      </w:r>
      <w:proofErr w:type="spellEnd"/>
      <w:r>
        <w:t xml:space="preserve"> School Board, at a public meeting, will adopt a comprehensive, long-term</w:t>
      </w:r>
    </w:p>
    <w:p w14:paraId="72BE0E06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strategic plan to support and improve teaching and learning that is aligned with creating</w:t>
      </w:r>
    </w:p>
    <w:p w14:paraId="002D01C8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the world's best workforce and includes:</w:t>
      </w:r>
    </w:p>
    <w:p w14:paraId="59AA0409" w14:textId="14914F8E" w:rsidR="000D23F8" w:rsidRDefault="000D23F8" w:rsidP="000D23F8">
      <w:pPr>
        <w:pStyle w:val="BodyText"/>
        <w:tabs>
          <w:tab w:val="left" w:pos="2299"/>
        </w:tabs>
        <w:ind w:right="1735"/>
      </w:pPr>
      <w:r>
        <w:t>1. Clearly defined school site goals and benchmarks for instruction and</w:t>
      </w:r>
    </w:p>
    <w:p w14:paraId="6A69B7D1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student achievement for all student subgroups identified in Minnesota Statutes,</w:t>
      </w:r>
    </w:p>
    <w:p w14:paraId="74BDC063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Chapter 120B.35, Subdivision 3, Paragraph (b), Clause (2);</w:t>
      </w:r>
    </w:p>
    <w:p w14:paraId="2E8A92A6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2. A process for assessing and evaluating each student's progress toward meeting</w:t>
      </w:r>
    </w:p>
    <w:p w14:paraId="1528A760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state and local academic standards and identifying the strengths and weaknesses</w:t>
      </w:r>
    </w:p>
    <w:p w14:paraId="53A9C2C6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of instruction in pursuit of student and school success and curriculum affecting</w:t>
      </w:r>
    </w:p>
    <w:p w14:paraId="32A208E9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students' progress and growth toward career and college readiness and leading to</w:t>
      </w:r>
    </w:p>
    <w:p w14:paraId="0D3CAA77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the world's best workforce;</w:t>
      </w:r>
    </w:p>
    <w:p w14:paraId="6B644635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3. A system to periodically review and evaluate the effectiveness of all instruction and</w:t>
      </w:r>
    </w:p>
    <w:p w14:paraId="00E65B31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curriculum, taking into account strategies and best practices, student outcomes,</w:t>
      </w:r>
    </w:p>
    <w:p w14:paraId="204504B3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school principal evaluations under Chapter 123B.147, Subdivision 3, and teacher</w:t>
      </w:r>
    </w:p>
    <w:p w14:paraId="12D20CB7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evaluations under Chapter 122A.40, Subdivision 8, or 122A.41, Subdivision 5;</w:t>
      </w:r>
    </w:p>
    <w:p w14:paraId="1F3E849D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4. Strategies for improving instruction, curriculum, and achievement;</w:t>
      </w:r>
    </w:p>
    <w:p w14:paraId="3C7238BD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5. Education effectiveness practices that integrate high-quality instruction, rigorous</w:t>
      </w:r>
    </w:p>
    <w:p w14:paraId="04F7879D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curriculum, technology, and a collaborative professional culture that develops and</w:t>
      </w:r>
    </w:p>
    <w:p w14:paraId="271A3ED8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supports teacher quality, performance, and effectiveness; and</w:t>
      </w:r>
    </w:p>
    <w:p w14:paraId="04090777" w14:textId="32BCF6D2" w:rsidR="000D23F8" w:rsidRDefault="000D23F8" w:rsidP="000D23F8">
      <w:pPr>
        <w:pStyle w:val="BodyText"/>
        <w:tabs>
          <w:tab w:val="left" w:pos="2299"/>
        </w:tabs>
        <w:ind w:right="1735"/>
      </w:pPr>
      <w:r>
        <w:t xml:space="preserve">6. An annual budget for continuing to implement the </w:t>
      </w:r>
      <w:r w:rsidR="0026475B">
        <w:t>school</w:t>
      </w:r>
      <w:r>
        <w:t xml:space="preserve"> plan.</w:t>
      </w:r>
      <w:r>
        <w:br/>
      </w:r>
    </w:p>
    <w:p w14:paraId="69700D1C" w14:textId="6C2DC56B" w:rsidR="000D23F8" w:rsidRPr="000D23F8" w:rsidRDefault="000D23F8" w:rsidP="000D23F8">
      <w:pPr>
        <w:pStyle w:val="BodyText"/>
        <w:tabs>
          <w:tab w:val="left" w:pos="2299"/>
        </w:tabs>
        <w:ind w:right="1735"/>
        <w:rPr>
          <w:b/>
          <w:bCs/>
        </w:rPr>
      </w:pPr>
      <w:r w:rsidRPr="000D23F8">
        <w:rPr>
          <w:b/>
          <w:bCs/>
        </w:rPr>
        <w:t xml:space="preserve">IV. </w:t>
      </w:r>
      <w:r>
        <w:rPr>
          <w:b/>
          <w:bCs/>
        </w:rPr>
        <w:t xml:space="preserve">ADVISORY COMMITTEE </w:t>
      </w:r>
    </w:p>
    <w:p w14:paraId="3237409C" w14:textId="7DBD05D0" w:rsidR="000D23F8" w:rsidRDefault="000D23F8" w:rsidP="000D23F8">
      <w:pPr>
        <w:pStyle w:val="BodyText"/>
        <w:tabs>
          <w:tab w:val="left" w:pos="2299"/>
        </w:tabs>
        <w:ind w:right="1735"/>
      </w:pPr>
      <w:r>
        <w:t xml:space="preserve">. The </w:t>
      </w:r>
      <w:proofErr w:type="spellStart"/>
      <w:r w:rsidR="0026475B">
        <w:t>Endazhi-Nitaawiging</w:t>
      </w:r>
      <w:proofErr w:type="spellEnd"/>
      <w:r>
        <w:t xml:space="preserve"> School Board will establish an advisory committee to ensure active</w:t>
      </w:r>
      <w:r w:rsidR="0026475B">
        <w:t xml:space="preserve"> </w:t>
      </w:r>
      <w:r>
        <w:t>community participation in all phases of planning and improving the instruction and</w:t>
      </w:r>
    </w:p>
    <w:p w14:paraId="0CB6744C" w14:textId="6C2573E3" w:rsidR="000D23F8" w:rsidRDefault="000D23F8" w:rsidP="000D23F8">
      <w:pPr>
        <w:pStyle w:val="BodyText"/>
        <w:tabs>
          <w:tab w:val="left" w:pos="2299"/>
        </w:tabs>
        <w:ind w:right="1735"/>
      </w:pPr>
      <w:r>
        <w:t>curriculum affecting state and</w:t>
      </w:r>
      <w:r w:rsidR="0026475B">
        <w:t xml:space="preserve"> school</w:t>
      </w:r>
      <w:r>
        <w:t xml:space="preserve"> academic standards, consistent with Subdivision</w:t>
      </w:r>
    </w:p>
    <w:p w14:paraId="4E982FFF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2.</w:t>
      </w:r>
    </w:p>
    <w:p w14:paraId="20533506" w14:textId="7D861EBE" w:rsidR="000D23F8" w:rsidRDefault="000D23F8" w:rsidP="000D23F8">
      <w:pPr>
        <w:pStyle w:val="BodyText"/>
        <w:tabs>
          <w:tab w:val="left" w:pos="2299"/>
        </w:tabs>
        <w:ind w:right="1735"/>
      </w:pPr>
      <w:r>
        <w:t xml:space="preserve">1. The </w:t>
      </w:r>
      <w:proofErr w:type="spellStart"/>
      <w:r w:rsidR="0026475B">
        <w:t>Endazhi-Nitaawiging</w:t>
      </w:r>
      <w:proofErr w:type="spellEnd"/>
      <w:r>
        <w:t xml:space="preserve"> advisory committee, to the extent possible, will reflect the diversity of</w:t>
      </w:r>
      <w:r w:rsidR="0026475B">
        <w:t xml:space="preserve"> EN </w:t>
      </w:r>
      <w:r>
        <w:t>and its school site</w:t>
      </w:r>
      <w:r w:rsidR="0026475B">
        <w:t>,</w:t>
      </w:r>
      <w:r>
        <w:t xml:space="preserve"> and will include teachers, parents, support staff, students, and</w:t>
      </w:r>
      <w:r w:rsidR="0026475B">
        <w:t xml:space="preserve"> </w:t>
      </w:r>
      <w:r>
        <w:t>other community residents.</w:t>
      </w:r>
    </w:p>
    <w:p w14:paraId="4F842238" w14:textId="73DBB197" w:rsidR="000D23F8" w:rsidRDefault="000D23F8" w:rsidP="000D23F8">
      <w:pPr>
        <w:pStyle w:val="BodyText"/>
        <w:tabs>
          <w:tab w:val="left" w:pos="2299"/>
        </w:tabs>
        <w:ind w:right="1735"/>
      </w:pPr>
      <w:r>
        <w:t xml:space="preserve">2. </w:t>
      </w:r>
      <w:proofErr w:type="spellStart"/>
      <w:r w:rsidR="0026475B">
        <w:t>Endazhi-Nitaawiging</w:t>
      </w:r>
      <w:proofErr w:type="spellEnd"/>
      <w:r>
        <w:t xml:space="preserve"> may establish site teams as subcommittees of the advisory committee</w:t>
      </w:r>
      <w:r w:rsidR="0026475B">
        <w:t xml:space="preserve"> </w:t>
      </w:r>
      <w:r>
        <w:t>under Subdivision 4.</w:t>
      </w:r>
    </w:p>
    <w:p w14:paraId="1B219689" w14:textId="11EEBC58" w:rsidR="000D23F8" w:rsidRDefault="000D23F8" w:rsidP="000D23F8">
      <w:pPr>
        <w:pStyle w:val="BodyText"/>
        <w:tabs>
          <w:tab w:val="left" w:pos="2299"/>
        </w:tabs>
        <w:ind w:right="1735"/>
      </w:pPr>
      <w:r>
        <w:t xml:space="preserve">3. The </w:t>
      </w:r>
      <w:r w:rsidR="0026475B">
        <w:t>school</w:t>
      </w:r>
      <w:r>
        <w:t xml:space="preserve"> advisory committee will recommend to the school board rigorous</w:t>
      </w:r>
    </w:p>
    <w:p w14:paraId="7298D797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academic standards, student achievement goals and measures consistent with</w:t>
      </w:r>
    </w:p>
    <w:p w14:paraId="6C93A32E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Subdivision 1a and Chapter 120B.022, Subdivision 1, paragraphs (b) and (c), and</w:t>
      </w:r>
    </w:p>
    <w:p w14:paraId="76E80821" w14:textId="4E38DDDF" w:rsidR="000D23F8" w:rsidRDefault="000D23F8" w:rsidP="000D23F8">
      <w:pPr>
        <w:pStyle w:val="BodyText"/>
        <w:tabs>
          <w:tab w:val="left" w:pos="2299"/>
        </w:tabs>
        <w:ind w:right="1735"/>
      </w:pPr>
      <w:r>
        <w:t>120B.35, assessments, and program evaluations.</w:t>
      </w:r>
    </w:p>
    <w:p w14:paraId="3E8CD3E6" w14:textId="0EBC3A3D" w:rsidR="000D23F8" w:rsidRDefault="000D23F8" w:rsidP="000D23F8">
      <w:pPr>
        <w:pStyle w:val="BodyText"/>
        <w:tabs>
          <w:tab w:val="left" w:pos="2299"/>
        </w:tabs>
        <w:ind w:right="1735"/>
      </w:pPr>
      <w:r>
        <w:t>4. School sites may expand upon evaluations of instruction, curriculum,</w:t>
      </w:r>
    </w:p>
    <w:p w14:paraId="3BA9E669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assessments, or programs. Whenever possible, parents and other community</w:t>
      </w:r>
    </w:p>
    <w:p w14:paraId="7FF92B66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residents will comprise at least two-thirds of advisory committee members.</w:t>
      </w:r>
    </w:p>
    <w:p w14:paraId="1502DF6B" w14:textId="70C70DE7" w:rsidR="000D23F8" w:rsidRDefault="000D23F8" w:rsidP="000D23F8">
      <w:pPr>
        <w:pStyle w:val="BodyText"/>
        <w:tabs>
          <w:tab w:val="left" w:pos="2299"/>
        </w:tabs>
        <w:ind w:right="1735"/>
      </w:pPr>
      <w:r>
        <w:t xml:space="preserve">B. Additionally, </w:t>
      </w:r>
      <w:r w:rsidR="0026475B">
        <w:t>the</w:t>
      </w:r>
      <w:r>
        <w:t xml:space="preserve"> building may establish a site team to develop and implement</w:t>
      </w:r>
    </w:p>
    <w:p w14:paraId="2A41CCFC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strategies and education effectiveness practices to improve instruction, curriculum, and</w:t>
      </w:r>
    </w:p>
    <w:p w14:paraId="3961B378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student achievement at the school site, consistent with Subdivision 2.</w:t>
      </w:r>
    </w:p>
    <w:p w14:paraId="742EC6DA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1. The team advises the board and the advisory committee about developing the</w:t>
      </w:r>
    </w:p>
    <w:p w14:paraId="418F853E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annual budget and revising an instruction and curriculum improvement plan that</w:t>
      </w:r>
    </w:p>
    <w:p w14:paraId="39F772AA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aligns curriculum, assessment of student progress and growth in meeting state and</w:t>
      </w:r>
    </w:p>
    <w:p w14:paraId="64F6C71C" w14:textId="77AEE8A2" w:rsidR="000D23F8" w:rsidRDefault="0026475B" w:rsidP="000D23F8">
      <w:pPr>
        <w:pStyle w:val="BodyText"/>
        <w:tabs>
          <w:tab w:val="left" w:pos="2299"/>
        </w:tabs>
        <w:ind w:right="1735"/>
      </w:pPr>
      <w:r>
        <w:t>school</w:t>
      </w:r>
      <w:r w:rsidR="000D23F8">
        <w:t xml:space="preserve"> academic standards, and instruction.</w:t>
      </w:r>
      <w:r w:rsidR="000D23F8">
        <w:br/>
      </w:r>
    </w:p>
    <w:p w14:paraId="6A4177D4" w14:textId="77777777" w:rsidR="000D23F8" w:rsidRPr="000D23F8" w:rsidRDefault="000D23F8" w:rsidP="000D23F8">
      <w:pPr>
        <w:pStyle w:val="BodyText"/>
        <w:tabs>
          <w:tab w:val="left" w:pos="2299"/>
        </w:tabs>
        <w:ind w:right="1735"/>
        <w:rPr>
          <w:b/>
          <w:bCs/>
        </w:rPr>
      </w:pPr>
      <w:r w:rsidRPr="000D23F8">
        <w:rPr>
          <w:b/>
          <w:bCs/>
        </w:rPr>
        <w:t>VI. Report</w:t>
      </w:r>
    </w:p>
    <w:p w14:paraId="6C9EE71D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A. Consistent with requirements for school performance reports under Chapter 120B.36,</w:t>
      </w:r>
    </w:p>
    <w:p w14:paraId="27154157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Subdivision 1, the School Board will publish a report in the local newspaper with the</w:t>
      </w:r>
    </w:p>
    <w:p w14:paraId="75787F8B" w14:textId="09C6F9F0" w:rsidR="000D23F8" w:rsidRDefault="000D23F8" w:rsidP="000D23F8">
      <w:pPr>
        <w:pStyle w:val="BodyText"/>
        <w:tabs>
          <w:tab w:val="left" w:pos="2299"/>
        </w:tabs>
        <w:ind w:right="1735"/>
      </w:pPr>
      <w:r>
        <w:t xml:space="preserve">largest circulation in the </w:t>
      </w:r>
      <w:r w:rsidR="0026475B">
        <w:t>school</w:t>
      </w:r>
      <w:r>
        <w:t xml:space="preserve">, by mail, or by electronic means on the </w:t>
      </w:r>
      <w:r w:rsidR="0026475B">
        <w:t>school</w:t>
      </w:r>
      <w:r>
        <w:t xml:space="preserve"> website.</w:t>
      </w:r>
    </w:p>
    <w:p w14:paraId="2AC1E8A4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lastRenderedPageBreak/>
        <w:t>B. The School Board will hold an annual public meeting to review, and revise where</w:t>
      </w:r>
    </w:p>
    <w:p w14:paraId="6C0699D7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appropriate, student achievement goals, local assessment outcomes, plans, strategies,</w:t>
      </w:r>
    </w:p>
    <w:p w14:paraId="5448CB22" w14:textId="3213F553" w:rsidR="000D23F8" w:rsidRDefault="000D23F8" w:rsidP="000D23F8">
      <w:pPr>
        <w:pStyle w:val="BodyText"/>
        <w:tabs>
          <w:tab w:val="left" w:pos="2299"/>
        </w:tabs>
        <w:ind w:right="1735"/>
      </w:pPr>
      <w:r>
        <w:t xml:space="preserve">and practices for improving curriculum and instruction, and to review </w:t>
      </w:r>
      <w:r w:rsidR="0026475B">
        <w:t>school</w:t>
      </w:r>
      <w:r>
        <w:t xml:space="preserve"> success in</w:t>
      </w:r>
    </w:p>
    <w:p w14:paraId="07A5C546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realizing the previously adopted student achievement goals and related benchmarks</w:t>
      </w:r>
    </w:p>
    <w:p w14:paraId="7D8DD3CF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and the improvement plans leading to the world's best workforce.</w:t>
      </w:r>
    </w:p>
    <w:p w14:paraId="4503B40B" w14:textId="77777777" w:rsidR="000D23F8" w:rsidRDefault="000D23F8" w:rsidP="000D23F8">
      <w:pPr>
        <w:pStyle w:val="BodyText"/>
        <w:tabs>
          <w:tab w:val="left" w:pos="2299"/>
        </w:tabs>
        <w:ind w:right="1735"/>
      </w:pPr>
    </w:p>
    <w:p w14:paraId="3A1EEFF9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C. The School Board must transmit an electronic summary of its report to the</w:t>
      </w:r>
    </w:p>
    <w:p w14:paraId="4FE90576" w14:textId="1F6D3C26" w:rsidR="000D23F8" w:rsidRDefault="000D23F8" w:rsidP="000D23F8">
      <w:pPr>
        <w:pStyle w:val="BodyText"/>
        <w:tabs>
          <w:tab w:val="left" w:pos="2299"/>
        </w:tabs>
        <w:ind w:right="1735"/>
      </w:pPr>
      <w:r>
        <w:t>commissioner in the form and manner the commissioner determines.</w:t>
      </w:r>
      <w:r w:rsidR="0026475B">
        <w:br/>
      </w:r>
    </w:p>
    <w:p w14:paraId="3983702F" w14:textId="7AFC1361" w:rsidR="000D23F8" w:rsidRPr="0026475B" w:rsidRDefault="000D23F8" w:rsidP="000D23F8">
      <w:pPr>
        <w:pStyle w:val="BodyText"/>
        <w:tabs>
          <w:tab w:val="left" w:pos="2299"/>
        </w:tabs>
        <w:ind w:right="1735"/>
        <w:rPr>
          <w:b/>
          <w:bCs/>
        </w:rPr>
      </w:pPr>
      <w:r w:rsidRPr="0026475B">
        <w:rPr>
          <w:b/>
          <w:bCs/>
        </w:rPr>
        <w:t xml:space="preserve">VII. </w:t>
      </w:r>
      <w:r w:rsidR="0026475B">
        <w:rPr>
          <w:b/>
          <w:bCs/>
        </w:rPr>
        <w:t xml:space="preserve">PERIODIC REPORT </w:t>
      </w:r>
    </w:p>
    <w:p w14:paraId="5D7060F7" w14:textId="761B68D3" w:rsidR="000D23F8" w:rsidRDefault="0026475B" w:rsidP="000D23F8">
      <w:pPr>
        <w:pStyle w:val="BodyText"/>
        <w:tabs>
          <w:tab w:val="left" w:pos="2299"/>
        </w:tabs>
        <w:ind w:right="1735"/>
      </w:pPr>
      <w:proofErr w:type="spellStart"/>
      <w:r>
        <w:t>Endazhi-Nitaawiging</w:t>
      </w:r>
      <w:proofErr w:type="spellEnd"/>
      <w:r w:rsidR="000D23F8">
        <w:t xml:space="preserve"> will periodically survey affected constituencies about their connection to and level</w:t>
      </w:r>
      <w:r>
        <w:t xml:space="preserve"> </w:t>
      </w:r>
      <w:r w:rsidR="000D23F8">
        <w:t xml:space="preserve">of satisfaction with school. The </w:t>
      </w:r>
      <w:r>
        <w:t>school</w:t>
      </w:r>
      <w:r w:rsidR="000D23F8">
        <w:t xml:space="preserve"> will include the results of this evaluation in the</w:t>
      </w:r>
      <w:r>
        <w:t xml:space="preserve"> s</w:t>
      </w:r>
      <w:r w:rsidR="000D23F8">
        <w:t>ummary report required under Chapter VI.C. above.</w:t>
      </w:r>
      <w:r w:rsidR="000D23F8">
        <w:br/>
      </w:r>
      <w:r w:rsidR="000D23F8">
        <w:br/>
      </w:r>
    </w:p>
    <w:p w14:paraId="3B44D82B" w14:textId="1A16A177" w:rsidR="000D23F8" w:rsidRPr="0026475B" w:rsidRDefault="000D23F8" w:rsidP="000D23F8">
      <w:pPr>
        <w:pStyle w:val="BodyText"/>
        <w:tabs>
          <w:tab w:val="left" w:pos="2299"/>
        </w:tabs>
        <w:ind w:right="1735"/>
        <w:rPr>
          <w:b/>
          <w:bCs/>
          <w:i/>
          <w:iCs/>
        </w:rPr>
      </w:pPr>
      <w:r w:rsidRPr="0026475B">
        <w:rPr>
          <w:b/>
          <w:bCs/>
          <w:i/>
          <w:iCs/>
        </w:rPr>
        <w:t>Legal References</w:t>
      </w:r>
      <w:r w:rsidR="0026475B" w:rsidRPr="0026475B">
        <w:rPr>
          <w:b/>
          <w:bCs/>
          <w:i/>
          <w:iCs/>
        </w:rPr>
        <w:t>:</w:t>
      </w:r>
    </w:p>
    <w:p w14:paraId="5B25CDCD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Minnesota Statutes, Chapter 120B.022 (Elective Standards)</w:t>
      </w:r>
    </w:p>
    <w:p w14:paraId="545505B1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Minnesota Statutes, Chapter 120B.11 (Striving for the World’s Best Workforce)</w:t>
      </w:r>
    </w:p>
    <w:p w14:paraId="5CC8376F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Minnesota Statutes, Chapter 120B.30 (Statewide Testing and Reporting System)</w:t>
      </w:r>
    </w:p>
    <w:p w14:paraId="080378E4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Minnesota Statutes, Chapter 120B.35 (Academic Achievement and Growth)</w:t>
      </w:r>
    </w:p>
    <w:p w14:paraId="084174F5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Minnesota Statutes, Chapter 122A.40 (Employment; Contracts; Termination)</w:t>
      </w:r>
    </w:p>
    <w:p w14:paraId="5230A256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Minnesota Statutes, Chapter 122A.41 (Teacher Tenure Act; Cities of the First Class;</w:t>
      </w:r>
    </w:p>
    <w:p w14:paraId="2ED09416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Definitions)</w:t>
      </w:r>
    </w:p>
    <w:p w14:paraId="12CDD77A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Minnesota Statutes, Chapter 123B.147 (Principals)</w:t>
      </w:r>
    </w:p>
    <w:p w14:paraId="7DD021BB" w14:textId="4F7AC69F" w:rsidR="000D23F8" w:rsidRPr="0026475B" w:rsidRDefault="000D23F8" w:rsidP="000D23F8">
      <w:pPr>
        <w:pStyle w:val="BodyText"/>
        <w:tabs>
          <w:tab w:val="left" w:pos="2299"/>
        </w:tabs>
        <w:ind w:right="1735"/>
        <w:rPr>
          <w:b/>
          <w:bCs/>
          <w:i/>
          <w:iCs/>
        </w:rPr>
      </w:pPr>
      <w:r w:rsidRPr="0026475B">
        <w:rPr>
          <w:b/>
          <w:bCs/>
          <w:i/>
          <w:iCs/>
        </w:rPr>
        <w:t>Cross References</w:t>
      </w:r>
      <w:r w:rsidR="0026475B" w:rsidRPr="0026475B">
        <w:rPr>
          <w:b/>
          <w:bCs/>
          <w:i/>
          <w:iCs/>
        </w:rPr>
        <w:t>:</w:t>
      </w:r>
    </w:p>
    <w:p w14:paraId="34AB0EE7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Policy #203-Budget</w:t>
      </w:r>
    </w:p>
    <w:p w14:paraId="21677316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Policy #328-Development of Parental Involvement for Title I Programs</w:t>
      </w:r>
    </w:p>
    <w:p w14:paraId="18B6CB31" w14:textId="77777777" w:rsidR="000D23F8" w:rsidRDefault="000D23F8" w:rsidP="000D23F8">
      <w:pPr>
        <w:pStyle w:val="BodyText"/>
        <w:tabs>
          <w:tab w:val="left" w:pos="2299"/>
        </w:tabs>
        <w:ind w:right="1735"/>
      </w:pPr>
      <w:r>
        <w:t>Policy #613-Curriculum and Instructional Goals</w:t>
      </w:r>
    </w:p>
    <w:p w14:paraId="0ECF0AD1" w14:textId="6B7D6FCF" w:rsidR="008D58D2" w:rsidRDefault="000D23F8" w:rsidP="000D23F8">
      <w:pPr>
        <w:pStyle w:val="BodyText"/>
        <w:tabs>
          <w:tab w:val="left" w:pos="2299"/>
        </w:tabs>
        <w:ind w:right="1735"/>
      </w:pPr>
      <w:r>
        <w:t>Policy #614-Curriculum Development</w:t>
      </w:r>
      <w:r w:rsidR="00FC79B6">
        <w:t xml:space="preserve"> </w:t>
      </w:r>
      <w:r w:rsidR="00B50FF2">
        <w:br/>
      </w:r>
      <w:r w:rsidR="00B50FF2" w:rsidRPr="00B50FF2">
        <w:rPr>
          <w:b/>
          <w:bCs/>
          <w:i/>
          <w:iCs/>
        </w:rPr>
        <w:br/>
        <w:t>Adopted</w:t>
      </w:r>
      <w:r w:rsidR="00B50FF2">
        <w:t>:</w:t>
      </w:r>
      <w:r w:rsidR="00DD438E">
        <w:t xml:space="preserve">     </w:t>
      </w:r>
      <w:r w:rsidR="00DD438E">
        <w:rPr>
          <w:b/>
          <w:iCs/>
          <w:spacing w:val="-2"/>
        </w:rPr>
        <w:t>July 27</w:t>
      </w:r>
      <w:r w:rsidR="00DD438E" w:rsidRPr="00430EA9">
        <w:rPr>
          <w:b/>
          <w:iCs/>
          <w:spacing w:val="-2"/>
          <w:vertAlign w:val="superscript"/>
        </w:rPr>
        <w:t>th</w:t>
      </w:r>
      <w:r w:rsidR="00DD438E">
        <w:rPr>
          <w:b/>
          <w:iCs/>
          <w:spacing w:val="-2"/>
        </w:rPr>
        <w:t>, 2022</w:t>
      </w:r>
    </w:p>
    <w:sectPr w:rsidR="008D58D2" w:rsidSect="008D58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7627"/>
    <w:multiLevelType w:val="hybridMultilevel"/>
    <w:tmpl w:val="1AC68F2E"/>
    <w:lvl w:ilvl="0" w:tplc="AB149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2694E"/>
    <w:multiLevelType w:val="hybridMultilevel"/>
    <w:tmpl w:val="5330AEE8"/>
    <w:lvl w:ilvl="0" w:tplc="6E645BC6">
      <w:start w:val="1"/>
      <w:numFmt w:val="upperRoman"/>
      <w:lvlText w:val="%1."/>
      <w:lvlJc w:val="left"/>
      <w:pPr>
        <w:ind w:left="86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4608FA40">
      <w:start w:val="1"/>
      <w:numFmt w:val="upperLetter"/>
      <w:lvlText w:val="%2."/>
      <w:lvlJc w:val="left"/>
      <w:pPr>
        <w:ind w:left="158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1B527DA0">
      <w:numFmt w:val="bullet"/>
      <w:lvlText w:val="•"/>
      <w:lvlJc w:val="left"/>
      <w:pPr>
        <w:ind w:left="2635" w:hanging="720"/>
      </w:pPr>
      <w:rPr>
        <w:rFonts w:hint="default"/>
        <w:lang w:val="en-US" w:eastAsia="en-US" w:bidi="ar-SA"/>
      </w:rPr>
    </w:lvl>
    <w:lvl w:ilvl="3" w:tplc="D9E02312">
      <w:numFmt w:val="bullet"/>
      <w:lvlText w:val="•"/>
      <w:lvlJc w:val="left"/>
      <w:pPr>
        <w:ind w:left="3691" w:hanging="720"/>
      </w:pPr>
      <w:rPr>
        <w:rFonts w:hint="default"/>
        <w:lang w:val="en-US" w:eastAsia="en-US" w:bidi="ar-SA"/>
      </w:rPr>
    </w:lvl>
    <w:lvl w:ilvl="4" w:tplc="F3EE9C24">
      <w:numFmt w:val="bullet"/>
      <w:lvlText w:val="•"/>
      <w:lvlJc w:val="left"/>
      <w:pPr>
        <w:ind w:left="4746" w:hanging="720"/>
      </w:pPr>
      <w:rPr>
        <w:rFonts w:hint="default"/>
        <w:lang w:val="en-US" w:eastAsia="en-US" w:bidi="ar-SA"/>
      </w:rPr>
    </w:lvl>
    <w:lvl w:ilvl="5" w:tplc="921E0BB6">
      <w:numFmt w:val="bullet"/>
      <w:lvlText w:val="•"/>
      <w:lvlJc w:val="left"/>
      <w:pPr>
        <w:ind w:left="5802" w:hanging="720"/>
      </w:pPr>
      <w:rPr>
        <w:rFonts w:hint="default"/>
        <w:lang w:val="en-US" w:eastAsia="en-US" w:bidi="ar-SA"/>
      </w:rPr>
    </w:lvl>
    <w:lvl w:ilvl="6" w:tplc="AC524F24">
      <w:numFmt w:val="bullet"/>
      <w:lvlText w:val="•"/>
      <w:lvlJc w:val="left"/>
      <w:pPr>
        <w:ind w:left="6857" w:hanging="720"/>
      </w:pPr>
      <w:rPr>
        <w:rFonts w:hint="default"/>
        <w:lang w:val="en-US" w:eastAsia="en-US" w:bidi="ar-SA"/>
      </w:rPr>
    </w:lvl>
    <w:lvl w:ilvl="7" w:tplc="A34AECDC">
      <w:numFmt w:val="bullet"/>
      <w:lvlText w:val="•"/>
      <w:lvlJc w:val="left"/>
      <w:pPr>
        <w:ind w:left="7913" w:hanging="720"/>
      </w:pPr>
      <w:rPr>
        <w:rFonts w:hint="default"/>
        <w:lang w:val="en-US" w:eastAsia="en-US" w:bidi="ar-SA"/>
      </w:rPr>
    </w:lvl>
    <w:lvl w:ilvl="8" w:tplc="4ABC5B80">
      <w:numFmt w:val="bullet"/>
      <w:lvlText w:val="•"/>
      <w:lvlJc w:val="left"/>
      <w:pPr>
        <w:ind w:left="8968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4C3C63EA"/>
    <w:multiLevelType w:val="hybridMultilevel"/>
    <w:tmpl w:val="E278D080"/>
    <w:lvl w:ilvl="0" w:tplc="8812A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72529"/>
    <w:multiLevelType w:val="hybridMultilevel"/>
    <w:tmpl w:val="9C8AEF6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7A0D115B"/>
    <w:multiLevelType w:val="hybridMultilevel"/>
    <w:tmpl w:val="E260431E"/>
    <w:lvl w:ilvl="0" w:tplc="6262A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416643">
    <w:abstractNumId w:val="1"/>
  </w:num>
  <w:num w:numId="2" w16cid:durableId="537551709">
    <w:abstractNumId w:val="4"/>
  </w:num>
  <w:num w:numId="3" w16cid:durableId="789325924">
    <w:abstractNumId w:val="2"/>
  </w:num>
  <w:num w:numId="4" w16cid:durableId="1358578868">
    <w:abstractNumId w:val="3"/>
  </w:num>
  <w:num w:numId="5" w16cid:durableId="1880778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D5"/>
    <w:rsid w:val="00031207"/>
    <w:rsid w:val="00033E84"/>
    <w:rsid w:val="00044EA9"/>
    <w:rsid w:val="00096686"/>
    <w:rsid w:val="000D23F8"/>
    <w:rsid w:val="00116FFA"/>
    <w:rsid w:val="001350EA"/>
    <w:rsid w:val="001408E0"/>
    <w:rsid w:val="00147EBB"/>
    <w:rsid w:val="001A6E49"/>
    <w:rsid w:val="001C28F4"/>
    <w:rsid w:val="001E1CD1"/>
    <w:rsid w:val="00234030"/>
    <w:rsid w:val="00242137"/>
    <w:rsid w:val="0026475B"/>
    <w:rsid w:val="00275878"/>
    <w:rsid w:val="002F4F52"/>
    <w:rsid w:val="003E2014"/>
    <w:rsid w:val="003F13BD"/>
    <w:rsid w:val="00412143"/>
    <w:rsid w:val="00412855"/>
    <w:rsid w:val="00486D10"/>
    <w:rsid w:val="00527AFC"/>
    <w:rsid w:val="005318B2"/>
    <w:rsid w:val="0057596D"/>
    <w:rsid w:val="005805AD"/>
    <w:rsid w:val="00587558"/>
    <w:rsid w:val="00617769"/>
    <w:rsid w:val="006A5843"/>
    <w:rsid w:val="00737D8C"/>
    <w:rsid w:val="00783699"/>
    <w:rsid w:val="007B1726"/>
    <w:rsid w:val="007C5B3E"/>
    <w:rsid w:val="008A395C"/>
    <w:rsid w:val="008D58D2"/>
    <w:rsid w:val="00944FA7"/>
    <w:rsid w:val="009713CA"/>
    <w:rsid w:val="00A45E29"/>
    <w:rsid w:val="00A55DA3"/>
    <w:rsid w:val="00AA5EB1"/>
    <w:rsid w:val="00AC2509"/>
    <w:rsid w:val="00AE3679"/>
    <w:rsid w:val="00B156BA"/>
    <w:rsid w:val="00B21BF3"/>
    <w:rsid w:val="00B50FF2"/>
    <w:rsid w:val="00BD21F5"/>
    <w:rsid w:val="00C01226"/>
    <w:rsid w:val="00C32DDA"/>
    <w:rsid w:val="00CC2DD5"/>
    <w:rsid w:val="00D22CF8"/>
    <w:rsid w:val="00D53B98"/>
    <w:rsid w:val="00D62653"/>
    <w:rsid w:val="00D667D6"/>
    <w:rsid w:val="00D708B1"/>
    <w:rsid w:val="00DB442B"/>
    <w:rsid w:val="00DD438E"/>
    <w:rsid w:val="00E458AE"/>
    <w:rsid w:val="00E7648C"/>
    <w:rsid w:val="00E95A55"/>
    <w:rsid w:val="00F0199E"/>
    <w:rsid w:val="00F1226F"/>
    <w:rsid w:val="00F3519C"/>
    <w:rsid w:val="00F82765"/>
    <w:rsid w:val="00FC79B6"/>
    <w:rsid w:val="00FD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4107"/>
  <w15:chartTrackingRefBased/>
  <w15:docId w15:val="{9A9F537E-5770-1D48-A130-009DD55A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58D2"/>
    <w:pPr>
      <w:widowControl w:val="0"/>
      <w:autoSpaceDE w:val="0"/>
      <w:autoSpaceDN w:val="0"/>
      <w:ind w:left="860" w:hanging="72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58D2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8D58D2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D58D2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8D58D2"/>
    <w:pPr>
      <w:widowControl w:val="0"/>
      <w:autoSpaceDE w:val="0"/>
      <w:autoSpaceDN w:val="0"/>
      <w:ind w:left="1580" w:right="136" w:hanging="72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Graves, Serena J</dc:creator>
  <cp:keywords/>
  <dc:description/>
  <cp:lastModifiedBy>Graves, Serena J</cp:lastModifiedBy>
  <cp:revision>4</cp:revision>
  <dcterms:created xsi:type="dcterms:W3CDTF">2022-07-20T20:30:00Z</dcterms:created>
  <dcterms:modified xsi:type="dcterms:W3CDTF">2022-08-04T20:29:00Z</dcterms:modified>
</cp:coreProperties>
</file>