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3B2" w14:textId="77777777" w:rsidR="00CC2DD5" w:rsidRDefault="00CC2DD5" w:rsidP="00CC2DD5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4D7138B8" wp14:editId="4B846922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C2DD5" w14:paraId="341CC775" w14:textId="77777777" w:rsidTr="008D58D2">
        <w:tc>
          <w:tcPr>
            <w:tcW w:w="10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D882BF" w14:textId="05685C88" w:rsidR="00CC2DD5" w:rsidRPr="008D58D2" w:rsidRDefault="008D58D2" w:rsidP="00CC2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2">
              <w:rPr>
                <w:rFonts w:ascii="Times New Roman" w:hAnsi="Times New Roman" w:cs="Times New Roman"/>
                <w:b/>
                <w:bCs/>
              </w:rPr>
              <w:t>102 – Equal Education Opportunity</w:t>
            </w:r>
          </w:p>
        </w:tc>
      </w:tr>
    </w:tbl>
    <w:p w14:paraId="33D97E24" w14:textId="6E38FA84" w:rsidR="008D58D2" w:rsidRDefault="008D58D2" w:rsidP="008D58D2">
      <w:pPr>
        <w:pStyle w:val="BodyText"/>
        <w:rPr>
          <w:b/>
          <w:sz w:val="20"/>
        </w:rPr>
      </w:pPr>
    </w:p>
    <w:p w14:paraId="39C8F08A" w14:textId="77777777" w:rsidR="008D58D2" w:rsidRDefault="008D58D2" w:rsidP="008D58D2">
      <w:pPr>
        <w:pStyle w:val="BodyText"/>
        <w:spacing w:before="3"/>
        <w:rPr>
          <w:b/>
          <w:sz w:val="20"/>
        </w:rPr>
      </w:pPr>
    </w:p>
    <w:p w14:paraId="6CC0A038" w14:textId="77777777" w:rsidR="008D58D2" w:rsidRDefault="008D58D2" w:rsidP="008D58D2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90"/>
        <w:ind w:right="0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 w14:paraId="34CF6620" w14:textId="77777777" w:rsidR="008D58D2" w:rsidRDefault="008D58D2" w:rsidP="008D58D2">
      <w:pPr>
        <w:pStyle w:val="BodyText"/>
        <w:rPr>
          <w:b/>
        </w:rPr>
      </w:pPr>
    </w:p>
    <w:p w14:paraId="138DB51E" w14:textId="69C79D27" w:rsidR="008D58D2" w:rsidRDefault="008D58D2" w:rsidP="008D58D2">
      <w:pPr>
        <w:pStyle w:val="BodyText"/>
        <w:ind w:left="860" w:right="137"/>
      </w:pPr>
      <w:r>
        <w:t xml:space="preserve">The purpose of this policy is to ensure that equal educational opportunity is provided for all students of </w:t>
      </w:r>
      <w:proofErr w:type="spellStart"/>
      <w:r w:rsidR="00A969A5">
        <w:t>Endazhi-Nitaawiging</w:t>
      </w:r>
      <w:proofErr w:type="spellEnd"/>
      <w:r>
        <w:t>.</w:t>
      </w:r>
    </w:p>
    <w:p w14:paraId="3E69EB0F" w14:textId="77777777" w:rsidR="008D58D2" w:rsidRDefault="008D58D2" w:rsidP="008D58D2">
      <w:pPr>
        <w:pStyle w:val="BodyText"/>
      </w:pPr>
    </w:p>
    <w:p w14:paraId="006B69E8" w14:textId="77777777" w:rsidR="008D58D2" w:rsidRDefault="008D58D2" w:rsidP="008D58D2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</w:pPr>
      <w:r>
        <w:t>GENERAL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33CA9963" w14:textId="77777777" w:rsidR="008D58D2" w:rsidRDefault="008D58D2" w:rsidP="008D58D2">
      <w:pPr>
        <w:pStyle w:val="BodyText"/>
        <w:rPr>
          <w:b/>
        </w:rPr>
      </w:pPr>
    </w:p>
    <w:p w14:paraId="7E6B35F7" w14:textId="07DC98C9" w:rsidR="008D58D2" w:rsidRDefault="008D58D2" w:rsidP="008D58D2">
      <w:pPr>
        <w:pStyle w:val="ListParagraph"/>
        <w:numPr>
          <w:ilvl w:val="1"/>
          <w:numId w:val="1"/>
        </w:numPr>
        <w:tabs>
          <w:tab w:val="left" w:pos="1580"/>
        </w:tabs>
        <w:jc w:val="both"/>
        <w:rPr>
          <w:sz w:val="24"/>
        </w:rPr>
      </w:pPr>
      <w:r>
        <w:rPr>
          <w:sz w:val="24"/>
        </w:rPr>
        <w:t xml:space="preserve">The policy of </w:t>
      </w:r>
      <w:proofErr w:type="spellStart"/>
      <w:r w:rsidR="00A969A5">
        <w:rPr>
          <w:sz w:val="24"/>
        </w:rPr>
        <w:t>Endazhi-Nitaawiging</w:t>
      </w:r>
      <w:proofErr w:type="spellEnd"/>
      <w:r>
        <w:rPr>
          <w:sz w:val="24"/>
        </w:rPr>
        <w:t xml:space="preserve"> is to provide equal educational opportunity for all students.</w:t>
      </w:r>
      <w:r>
        <w:rPr>
          <w:spacing w:val="40"/>
          <w:sz w:val="24"/>
        </w:rPr>
        <w:t xml:space="preserve"> </w:t>
      </w:r>
      <w:proofErr w:type="spellStart"/>
      <w:r w:rsidR="00A969A5">
        <w:rPr>
          <w:sz w:val="24"/>
        </w:rPr>
        <w:t>Endazhi-Nitaawiging</w:t>
      </w:r>
      <w:proofErr w:type="spellEnd"/>
      <w:r>
        <w:rPr>
          <w:sz w:val="24"/>
        </w:rPr>
        <w:t xml:space="preserve"> does not unlawfully discriminate </w:t>
      </w:r>
      <w:proofErr w:type="gramStart"/>
      <w:r>
        <w:rPr>
          <w:sz w:val="24"/>
        </w:rPr>
        <w:t>on the basis of</w:t>
      </w:r>
      <w:proofErr w:type="gramEnd"/>
      <w:r>
        <w:rPr>
          <w:sz w:val="24"/>
        </w:rPr>
        <w:t xml:space="preserve"> race, color, creed, religion, national origin, sex, marital status, parental status, status with regard to public assistance, disability, sexual orientation, including gender identity and expression, or age.</w:t>
      </w:r>
      <w:r>
        <w:rPr>
          <w:spacing w:val="40"/>
          <w:sz w:val="24"/>
        </w:rPr>
        <w:t xml:space="preserve"> </w:t>
      </w:r>
      <w:proofErr w:type="spellStart"/>
      <w:r w:rsidR="00A969A5">
        <w:rPr>
          <w:sz w:val="24"/>
        </w:rPr>
        <w:t>Endazhi-Nitaawiging</w:t>
      </w:r>
      <w:proofErr w:type="spellEnd"/>
      <w:r>
        <w:rPr>
          <w:sz w:val="24"/>
        </w:rPr>
        <w:t xml:space="preserve"> also makes reasonable accommodations for disabled students.</w:t>
      </w:r>
    </w:p>
    <w:p w14:paraId="7202499D" w14:textId="77777777" w:rsidR="008D58D2" w:rsidRDefault="008D58D2" w:rsidP="008D58D2">
      <w:pPr>
        <w:pStyle w:val="BodyText"/>
      </w:pPr>
    </w:p>
    <w:p w14:paraId="5CCEFE73" w14:textId="42577236" w:rsidR="008D58D2" w:rsidRDefault="00A969A5" w:rsidP="008D58D2">
      <w:pPr>
        <w:pStyle w:val="ListParagraph"/>
        <w:numPr>
          <w:ilvl w:val="1"/>
          <w:numId w:val="1"/>
        </w:numPr>
        <w:tabs>
          <w:tab w:val="left" w:pos="1580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Endazhi-Nitaawiging</w:t>
      </w:r>
      <w:proofErr w:type="spellEnd"/>
      <w:r w:rsidR="008D58D2">
        <w:rPr>
          <w:sz w:val="24"/>
        </w:rPr>
        <w:t xml:space="preserve"> prohibits the harassment of any individual for any of the categories listed above.</w:t>
      </w:r>
      <w:r w:rsidR="008D58D2">
        <w:rPr>
          <w:spacing w:val="80"/>
          <w:sz w:val="24"/>
        </w:rPr>
        <w:t xml:space="preserve"> </w:t>
      </w:r>
      <w:r w:rsidR="008D58D2">
        <w:rPr>
          <w:sz w:val="24"/>
        </w:rPr>
        <w:t xml:space="preserve">For information about the types of conduct that constitute violation of </w:t>
      </w:r>
      <w:proofErr w:type="spellStart"/>
      <w:r>
        <w:rPr>
          <w:sz w:val="24"/>
        </w:rPr>
        <w:t>Endazhi-Nitaawiging</w:t>
      </w:r>
      <w:r w:rsidR="008D58D2">
        <w:rPr>
          <w:sz w:val="24"/>
        </w:rPr>
        <w:t>’s</w:t>
      </w:r>
      <w:proofErr w:type="spellEnd"/>
      <w:r w:rsidR="008D58D2">
        <w:rPr>
          <w:sz w:val="24"/>
        </w:rPr>
        <w:t xml:space="preserve"> policy on harassment and violence and </w:t>
      </w:r>
      <w:proofErr w:type="spellStart"/>
      <w:r>
        <w:rPr>
          <w:sz w:val="24"/>
        </w:rPr>
        <w:t>Endazhi-Nitaawiging</w:t>
      </w:r>
      <w:r w:rsidR="008D58D2">
        <w:rPr>
          <w:sz w:val="24"/>
        </w:rPr>
        <w:t>’s</w:t>
      </w:r>
      <w:proofErr w:type="spellEnd"/>
      <w:r w:rsidR="008D58D2">
        <w:rPr>
          <w:sz w:val="24"/>
        </w:rPr>
        <w:t xml:space="preserve"> procedures for addressing such complaints, refer to </w:t>
      </w:r>
      <w:proofErr w:type="spellStart"/>
      <w:r>
        <w:rPr>
          <w:sz w:val="24"/>
        </w:rPr>
        <w:t>Endazhi-Nitaawiging</w:t>
      </w:r>
      <w:r w:rsidR="008D58D2">
        <w:rPr>
          <w:sz w:val="24"/>
        </w:rPr>
        <w:t>’s</w:t>
      </w:r>
      <w:proofErr w:type="spellEnd"/>
      <w:r w:rsidR="008D58D2">
        <w:rPr>
          <w:sz w:val="24"/>
        </w:rPr>
        <w:t xml:space="preserve"> policy on harassment and violence.</w:t>
      </w:r>
    </w:p>
    <w:p w14:paraId="0C0469B5" w14:textId="77777777" w:rsidR="008D58D2" w:rsidRDefault="008D58D2" w:rsidP="008D58D2">
      <w:pPr>
        <w:pStyle w:val="BodyText"/>
        <w:spacing w:before="9"/>
        <w:rPr>
          <w:sz w:val="23"/>
        </w:rPr>
      </w:pPr>
    </w:p>
    <w:p w14:paraId="2057F5C2" w14:textId="77777777" w:rsidR="008D58D2" w:rsidRDefault="008D58D2" w:rsidP="008D58D2">
      <w:pPr>
        <w:pStyle w:val="ListParagraph"/>
        <w:numPr>
          <w:ilvl w:val="1"/>
          <w:numId w:val="1"/>
        </w:numPr>
        <w:tabs>
          <w:tab w:val="left" w:pos="1580"/>
        </w:tabs>
        <w:ind w:right="140"/>
        <w:jc w:val="both"/>
        <w:rPr>
          <w:sz w:val="24"/>
        </w:rPr>
      </w:pPr>
      <w:r>
        <w:rPr>
          <w:sz w:val="24"/>
        </w:rPr>
        <w:t>This policy applies to all areas of education including academics, coursework, co-curricular and extracurricular activities, or other rights or privileges of enrollment.</w:t>
      </w:r>
    </w:p>
    <w:p w14:paraId="697BE55F" w14:textId="77777777" w:rsidR="008D58D2" w:rsidRDefault="008D58D2" w:rsidP="008D58D2">
      <w:pPr>
        <w:pStyle w:val="BodyText"/>
      </w:pPr>
    </w:p>
    <w:p w14:paraId="511B5BCE" w14:textId="68DB43AC" w:rsidR="008D58D2" w:rsidRDefault="008D58D2" w:rsidP="008D58D2">
      <w:pPr>
        <w:pStyle w:val="ListParagraph"/>
        <w:numPr>
          <w:ilvl w:val="1"/>
          <w:numId w:val="1"/>
        </w:numPr>
        <w:tabs>
          <w:tab w:val="left" w:pos="1580"/>
        </w:tabs>
        <w:ind w:right="138"/>
        <w:jc w:val="both"/>
        <w:rPr>
          <w:sz w:val="24"/>
        </w:rPr>
      </w:pPr>
      <w:r>
        <w:rPr>
          <w:sz w:val="24"/>
        </w:rPr>
        <w:t xml:space="preserve">Every </w:t>
      </w:r>
      <w:r w:rsidR="00A969A5">
        <w:rPr>
          <w:sz w:val="24"/>
        </w:rPr>
        <w:t>Executive Director</w:t>
      </w:r>
      <w:r>
        <w:rPr>
          <w:sz w:val="24"/>
        </w:rPr>
        <w:t xml:space="preserve"> employee shall be responsible for complying with this policy </w:t>
      </w:r>
      <w:r>
        <w:rPr>
          <w:spacing w:val="-2"/>
          <w:sz w:val="24"/>
        </w:rPr>
        <w:t>conscientiously.</w:t>
      </w:r>
    </w:p>
    <w:p w14:paraId="219DD610" w14:textId="77777777" w:rsidR="008D58D2" w:rsidRDefault="008D58D2" w:rsidP="008D58D2">
      <w:pPr>
        <w:pStyle w:val="BodyText"/>
      </w:pPr>
    </w:p>
    <w:p w14:paraId="3F29F0B0" w14:textId="661E15B6" w:rsidR="008D58D2" w:rsidRDefault="008D58D2" w:rsidP="008D58D2">
      <w:pPr>
        <w:pStyle w:val="ListParagraph"/>
        <w:numPr>
          <w:ilvl w:val="1"/>
          <w:numId w:val="1"/>
        </w:numPr>
        <w:tabs>
          <w:tab w:val="left" w:pos="1580"/>
        </w:tabs>
        <w:jc w:val="both"/>
        <w:rPr>
          <w:sz w:val="24"/>
        </w:rPr>
      </w:pPr>
      <w:r>
        <w:rPr>
          <w:sz w:val="24"/>
        </w:rPr>
        <w:t>Any student, parent, or guardian having a question regarding this policy should discuss it with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appropriate </w:t>
      </w:r>
      <w:r w:rsidR="00A969A5">
        <w:rPr>
          <w:sz w:val="24"/>
        </w:rPr>
        <w:t>Executive Director</w:t>
      </w:r>
      <w:r>
        <w:rPr>
          <w:sz w:val="24"/>
        </w:rPr>
        <w:t xml:space="preserve"> official as provided by policy.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the absence of a specific designee, an inquiry or a complaint should be referred to the </w:t>
      </w:r>
      <w:r w:rsidR="00A969A5">
        <w:rPr>
          <w:sz w:val="24"/>
        </w:rPr>
        <w:t>Executive Director</w:t>
      </w:r>
      <w:r>
        <w:rPr>
          <w:sz w:val="24"/>
        </w:rPr>
        <w:t>.</w:t>
      </w:r>
    </w:p>
    <w:p w14:paraId="470377B7" w14:textId="77777777" w:rsidR="008D58D2" w:rsidRDefault="008D58D2" w:rsidP="008D58D2">
      <w:pPr>
        <w:pStyle w:val="BodyText"/>
        <w:rPr>
          <w:sz w:val="26"/>
        </w:rPr>
      </w:pPr>
    </w:p>
    <w:p w14:paraId="6B1470E8" w14:textId="77777777" w:rsidR="008D58D2" w:rsidRDefault="008D58D2" w:rsidP="008D58D2">
      <w:pPr>
        <w:pStyle w:val="BodyText"/>
        <w:rPr>
          <w:sz w:val="22"/>
        </w:rPr>
      </w:pPr>
    </w:p>
    <w:p w14:paraId="0A3C74C9" w14:textId="77777777" w:rsidR="008D58D2" w:rsidRDefault="008D58D2" w:rsidP="008D58D2">
      <w:pPr>
        <w:pStyle w:val="BodyText"/>
        <w:tabs>
          <w:tab w:val="left" w:pos="2299"/>
        </w:tabs>
        <w:ind w:left="2300" w:right="137" w:hanging="2160"/>
      </w:pPr>
      <w:r>
        <w:rPr>
          <w:b/>
          <w:i/>
        </w:rPr>
        <w:t>Legal References:</w:t>
      </w:r>
      <w:r>
        <w:rPr>
          <w:b/>
          <w:i/>
        </w:rPr>
        <w:tab/>
      </w:r>
      <w:r>
        <w:t xml:space="preserve">Minn. Stat. § 121A.03, </w:t>
      </w:r>
      <w:proofErr w:type="spellStart"/>
      <w:r>
        <w:t>Subd</w:t>
      </w:r>
      <w:proofErr w:type="spellEnd"/>
      <w:r>
        <w:t xml:space="preserve">. 2 (Sexual, Religious, and Racial Harassment and Violence </w:t>
      </w:r>
      <w:r>
        <w:rPr>
          <w:spacing w:val="-2"/>
        </w:rPr>
        <w:t>Policy)</w:t>
      </w:r>
    </w:p>
    <w:p w14:paraId="4C590A47" w14:textId="77777777" w:rsidR="008D58D2" w:rsidRDefault="008D58D2" w:rsidP="008D58D2">
      <w:pPr>
        <w:pStyle w:val="BodyText"/>
        <w:ind w:left="2300"/>
      </w:pPr>
      <w:r>
        <w:t>Minn.</w:t>
      </w:r>
      <w:r>
        <w:rPr>
          <w:spacing w:val="-4"/>
        </w:rPr>
        <w:t xml:space="preserve"> </w:t>
      </w:r>
      <w:r>
        <w:t>Stat.</w:t>
      </w:r>
      <w:r>
        <w:rPr>
          <w:spacing w:val="-1"/>
        </w:rPr>
        <w:t xml:space="preserve"> </w:t>
      </w:r>
      <w:r>
        <w:t>Ch.</w:t>
      </w:r>
      <w:r>
        <w:rPr>
          <w:spacing w:val="-1"/>
        </w:rPr>
        <w:t xml:space="preserve"> </w:t>
      </w:r>
      <w:r>
        <w:t>363A</w:t>
      </w:r>
      <w:r>
        <w:rPr>
          <w:spacing w:val="-2"/>
        </w:rPr>
        <w:t xml:space="preserve"> </w:t>
      </w:r>
      <w:r>
        <w:t>(Minnesota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rPr>
          <w:spacing w:val="-4"/>
        </w:rPr>
        <w:t>Act)</w:t>
      </w:r>
    </w:p>
    <w:p w14:paraId="0EEC15AB" w14:textId="77777777" w:rsidR="008D58D2" w:rsidRDefault="008D58D2" w:rsidP="008D58D2">
      <w:pPr>
        <w:pStyle w:val="BodyText"/>
        <w:ind w:left="2300" w:right="1492"/>
      </w:pPr>
      <w:r>
        <w:t>20</w:t>
      </w:r>
      <w:r>
        <w:rPr>
          <w:spacing w:val="-3"/>
        </w:rPr>
        <w:t xml:space="preserve"> </w:t>
      </w:r>
      <w:r>
        <w:t>U.S.C.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1681</w:t>
      </w:r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seq.</w:t>
      </w:r>
      <w:r>
        <w:rPr>
          <w:i/>
          <w:spacing w:val="-4"/>
        </w:rPr>
        <w:t xml:space="preserve"> </w:t>
      </w:r>
      <w:r>
        <w:t>(Title</w:t>
      </w:r>
      <w:r>
        <w:rPr>
          <w:spacing w:val="-4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1972) 42 U.S.C. § 12101 </w:t>
      </w:r>
      <w:r>
        <w:rPr>
          <w:i/>
        </w:rPr>
        <w:t xml:space="preserve">et seq. </w:t>
      </w:r>
      <w:r>
        <w:t>(Americans with Disabilities Act)</w:t>
      </w:r>
    </w:p>
    <w:p w14:paraId="0D96C990" w14:textId="37FF2A27" w:rsidR="00412143" w:rsidRDefault="00412143" w:rsidP="008D58D2"/>
    <w:p w14:paraId="5300DD9A" w14:textId="63424911" w:rsidR="008D58D2" w:rsidRDefault="008D58D2" w:rsidP="008D58D2"/>
    <w:p w14:paraId="00F9EF24" w14:textId="0F57E304" w:rsidR="008D58D2" w:rsidRDefault="008D58D2" w:rsidP="008D58D2"/>
    <w:p w14:paraId="39ACC701" w14:textId="345B3955" w:rsidR="008D58D2" w:rsidRDefault="008D58D2" w:rsidP="008D58D2"/>
    <w:p w14:paraId="2AB34A72" w14:textId="3B3BC5B7" w:rsidR="008D58D2" w:rsidRDefault="008D58D2" w:rsidP="008D58D2"/>
    <w:p w14:paraId="7F1CD033" w14:textId="0F6C22C0" w:rsidR="008D58D2" w:rsidRDefault="008D58D2" w:rsidP="008D58D2"/>
    <w:p w14:paraId="427DDAB8" w14:textId="713C9CCF" w:rsidR="008D58D2" w:rsidRDefault="008D58D2" w:rsidP="008D58D2"/>
    <w:p w14:paraId="629B1E01" w14:textId="6A9E3B9F" w:rsidR="008D58D2" w:rsidRDefault="008D58D2" w:rsidP="008D58D2">
      <w:pPr>
        <w:pStyle w:val="BodyText"/>
        <w:tabs>
          <w:tab w:val="left" w:pos="2299"/>
        </w:tabs>
        <w:ind w:left="2300" w:right="1735" w:hanging="2160"/>
        <w:rPr>
          <w:spacing w:val="-2"/>
        </w:rPr>
      </w:pPr>
      <w:r>
        <w:rPr>
          <w:b/>
          <w:i/>
        </w:rPr>
        <w:t>Cross References:</w:t>
      </w:r>
      <w:r>
        <w:rPr>
          <w:b/>
          <w:i/>
        </w:rPr>
        <w:tab/>
      </w:r>
      <w:r>
        <w:t>MSBA/MASA Model Policy 402 (Disability Nondiscrimination) MSBA/MASA Model Policy 413 (Harassment and Violence) MSBA/MASA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521</w:t>
      </w:r>
      <w:r>
        <w:rPr>
          <w:spacing w:val="-6"/>
        </w:rPr>
        <w:t xml:space="preserve"> </w:t>
      </w:r>
      <w:r>
        <w:t>(Student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Nondiscrimination)</w:t>
      </w:r>
      <w:r>
        <w:br/>
        <w:t>MSBA/MASA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522</w:t>
      </w:r>
      <w:r>
        <w:rPr>
          <w:spacing w:val="-2"/>
        </w:rPr>
        <w:t xml:space="preserve"> </w:t>
      </w:r>
      <w:r>
        <w:t>(Student</w:t>
      </w:r>
      <w:r>
        <w:rPr>
          <w:spacing w:val="-2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rPr>
          <w:spacing w:val="-2"/>
        </w:rPr>
        <w:t>Nondiscrimination)</w:t>
      </w:r>
    </w:p>
    <w:p w14:paraId="725BDC83" w14:textId="77777777" w:rsidR="008D58D2" w:rsidRPr="008D58D2" w:rsidRDefault="008D58D2" w:rsidP="008D58D2">
      <w:pPr>
        <w:pStyle w:val="BodyText"/>
        <w:rPr>
          <w:b/>
        </w:rPr>
      </w:pPr>
    </w:p>
    <w:p w14:paraId="49277FA1" w14:textId="2E4EE447" w:rsidR="008D58D2" w:rsidRPr="00430EA9" w:rsidRDefault="008D58D2" w:rsidP="008D58D2">
      <w:pPr>
        <w:tabs>
          <w:tab w:val="left" w:pos="2299"/>
        </w:tabs>
        <w:ind w:left="140"/>
        <w:rPr>
          <w:rFonts w:ascii="Times New Roman" w:hAnsi="Times New Roman" w:cs="Times New Roman"/>
          <w:b/>
          <w:iCs/>
        </w:rPr>
      </w:pPr>
      <w:r w:rsidRPr="008D58D2">
        <w:rPr>
          <w:rFonts w:ascii="Times New Roman" w:hAnsi="Times New Roman" w:cs="Times New Roman"/>
          <w:b/>
          <w:i/>
          <w:spacing w:val="-2"/>
        </w:rPr>
        <w:t>Adopted:</w:t>
      </w:r>
      <w:r w:rsidR="00430EA9">
        <w:rPr>
          <w:rFonts w:ascii="Times New Roman" w:hAnsi="Times New Roman" w:cs="Times New Roman"/>
          <w:b/>
          <w:i/>
          <w:spacing w:val="-2"/>
        </w:rPr>
        <w:t xml:space="preserve">   </w:t>
      </w:r>
      <w:r w:rsidR="00430EA9">
        <w:rPr>
          <w:rFonts w:ascii="Times New Roman" w:hAnsi="Times New Roman" w:cs="Times New Roman"/>
          <w:b/>
          <w:iCs/>
          <w:spacing w:val="-2"/>
        </w:rPr>
        <w:t>July 27</w:t>
      </w:r>
      <w:r w:rsidR="00430EA9" w:rsidRPr="00430EA9">
        <w:rPr>
          <w:rFonts w:ascii="Times New Roman" w:hAnsi="Times New Roman" w:cs="Times New Roman"/>
          <w:b/>
          <w:iCs/>
          <w:spacing w:val="-2"/>
          <w:vertAlign w:val="superscript"/>
        </w:rPr>
        <w:t>th</w:t>
      </w:r>
      <w:r w:rsidR="00430EA9">
        <w:rPr>
          <w:rFonts w:ascii="Times New Roman" w:hAnsi="Times New Roman" w:cs="Times New Roman"/>
          <w:b/>
          <w:iCs/>
          <w:spacing w:val="-2"/>
        </w:rPr>
        <w:t>, 2022</w:t>
      </w:r>
    </w:p>
    <w:p w14:paraId="0ECF0AD1" w14:textId="77777777" w:rsidR="008D58D2" w:rsidRDefault="008D58D2" w:rsidP="008D58D2">
      <w:pPr>
        <w:pStyle w:val="BodyText"/>
        <w:tabs>
          <w:tab w:val="left" w:pos="2299"/>
        </w:tabs>
        <w:ind w:right="1735"/>
      </w:pPr>
    </w:p>
    <w:sectPr w:rsidR="008D58D2" w:rsidSect="008D5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694E"/>
    <w:multiLevelType w:val="hybridMultilevel"/>
    <w:tmpl w:val="5330AEE8"/>
    <w:lvl w:ilvl="0" w:tplc="6E645BC6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608FA4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527DA0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D9E0231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F3EE9C24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921E0BB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AC524F24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A34AECD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4ABC5B80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num w:numId="1" w16cid:durableId="22441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5"/>
    <w:rsid w:val="00031207"/>
    <w:rsid w:val="00033E84"/>
    <w:rsid w:val="00044EA9"/>
    <w:rsid w:val="00096686"/>
    <w:rsid w:val="00116FFA"/>
    <w:rsid w:val="001350EA"/>
    <w:rsid w:val="001408E0"/>
    <w:rsid w:val="00147EBB"/>
    <w:rsid w:val="001A6E49"/>
    <w:rsid w:val="001C28F4"/>
    <w:rsid w:val="001E1CD1"/>
    <w:rsid w:val="00234030"/>
    <w:rsid w:val="00242137"/>
    <w:rsid w:val="00275878"/>
    <w:rsid w:val="002F4F52"/>
    <w:rsid w:val="003E2014"/>
    <w:rsid w:val="003F13BD"/>
    <w:rsid w:val="00412143"/>
    <w:rsid w:val="00412855"/>
    <w:rsid w:val="00430EA9"/>
    <w:rsid w:val="00486D10"/>
    <w:rsid w:val="00527AFC"/>
    <w:rsid w:val="005318B2"/>
    <w:rsid w:val="0057596D"/>
    <w:rsid w:val="005805AD"/>
    <w:rsid w:val="00587558"/>
    <w:rsid w:val="00617769"/>
    <w:rsid w:val="006A5843"/>
    <w:rsid w:val="00737D8C"/>
    <w:rsid w:val="00783699"/>
    <w:rsid w:val="007B1726"/>
    <w:rsid w:val="007C5B3E"/>
    <w:rsid w:val="008A395C"/>
    <w:rsid w:val="008D58D2"/>
    <w:rsid w:val="00944FA7"/>
    <w:rsid w:val="009713CA"/>
    <w:rsid w:val="00A45E29"/>
    <w:rsid w:val="00A55DA3"/>
    <w:rsid w:val="00A969A5"/>
    <w:rsid w:val="00AC2509"/>
    <w:rsid w:val="00AE3679"/>
    <w:rsid w:val="00B156BA"/>
    <w:rsid w:val="00B21BF3"/>
    <w:rsid w:val="00BD21F5"/>
    <w:rsid w:val="00C01226"/>
    <w:rsid w:val="00C32DDA"/>
    <w:rsid w:val="00CC2DD5"/>
    <w:rsid w:val="00D22CF8"/>
    <w:rsid w:val="00D53B98"/>
    <w:rsid w:val="00D667D6"/>
    <w:rsid w:val="00D708B1"/>
    <w:rsid w:val="00DB442B"/>
    <w:rsid w:val="00E7648C"/>
    <w:rsid w:val="00E95A55"/>
    <w:rsid w:val="00F0199E"/>
    <w:rsid w:val="00F1226F"/>
    <w:rsid w:val="00F3519C"/>
    <w:rsid w:val="00F82765"/>
    <w:rsid w:val="00FB1D70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4107"/>
  <w15:chartTrackingRefBased/>
  <w15:docId w15:val="{9A9F537E-5770-1D48-A130-009DD55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8D2"/>
    <w:pPr>
      <w:widowControl w:val="0"/>
      <w:autoSpaceDE w:val="0"/>
      <w:autoSpaceDN w:val="0"/>
      <w:ind w:left="860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8D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D58D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D58D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D58D2"/>
    <w:pPr>
      <w:widowControl w:val="0"/>
      <w:autoSpaceDE w:val="0"/>
      <w:autoSpaceDN w:val="0"/>
      <w:ind w:left="1580" w:right="136" w:hanging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3</cp:revision>
  <dcterms:created xsi:type="dcterms:W3CDTF">2022-07-21T23:29:00Z</dcterms:created>
  <dcterms:modified xsi:type="dcterms:W3CDTF">2022-08-04T20:28:00Z</dcterms:modified>
</cp:coreProperties>
</file>