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A3B2" w14:textId="77777777" w:rsidR="00CC2DD5" w:rsidRDefault="00CC2DD5" w:rsidP="00CC2DD5">
      <w:pPr>
        <w:jc w:val="center"/>
        <w:rPr>
          <w:rFonts w:ascii="Cambria" w:hAnsi="Cambria"/>
          <w:b/>
          <w:bCs/>
          <w:sz w:val="32"/>
          <w:szCs w:val="32"/>
        </w:rPr>
      </w:pPr>
      <w:proofErr w:type="spellStart"/>
      <w:r w:rsidRPr="00081B9E">
        <w:rPr>
          <w:rFonts w:ascii="Cambria" w:hAnsi="Cambria"/>
          <w:b/>
          <w:bCs/>
          <w:sz w:val="32"/>
          <w:szCs w:val="32"/>
        </w:rPr>
        <w:t>Endazhi-Nitaawiging</w:t>
      </w:r>
      <w:proofErr w:type="spellEnd"/>
      <w:r w:rsidRPr="00081B9E">
        <w:rPr>
          <w:rFonts w:ascii="Cambria" w:hAnsi="Cambria"/>
          <w:b/>
          <w:bCs/>
          <w:sz w:val="32"/>
          <w:szCs w:val="32"/>
        </w:rPr>
        <w:t xml:space="preserve"> </w:t>
      </w:r>
      <w:r w:rsidRPr="00081B9E">
        <w:rPr>
          <w:rFonts w:ascii="Cambria" w:hAnsi="Cambria"/>
          <w:b/>
          <w:bCs/>
          <w:sz w:val="32"/>
          <w:szCs w:val="32"/>
        </w:rPr>
        <w:br/>
        <w:t>School Board Policies &amp; Procedures Manual</w:t>
      </w:r>
      <w:r>
        <w:rPr>
          <w:rFonts w:ascii="Cambria" w:hAnsi="Cambria"/>
          <w:b/>
          <w:bCs/>
          <w:sz w:val="32"/>
          <w:szCs w:val="32"/>
        </w:rPr>
        <w:br/>
      </w:r>
      <w:r>
        <w:rPr>
          <w:rFonts w:ascii="Cambria" w:hAnsi="Cambria"/>
          <w:b/>
          <w:bCs/>
          <w:noProof/>
          <w:sz w:val="32"/>
          <w:szCs w:val="32"/>
        </w:rPr>
        <w:drawing>
          <wp:inline distT="0" distB="0" distL="0" distR="0" wp14:anchorId="4D7138B8" wp14:editId="4B846922">
            <wp:extent cx="1140541" cy="1073863"/>
            <wp:effectExtent l="0" t="0" r="2540" b="5715"/>
            <wp:docPr id="1" name="Picture 1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eramic ware, porcelai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529" cy="114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8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CC2DD5" w14:paraId="341CC775" w14:textId="77777777" w:rsidTr="008D58D2">
        <w:tc>
          <w:tcPr>
            <w:tcW w:w="108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D882BF" w14:textId="251B3993" w:rsidR="00CC2DD5" w:rsidRPr="008D58D2" w:rsidRDefault="00E458AE" w:rsidP="00CC2D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445- NEPOTISM</w:t>
            </w:r>
          </w:p>
        </w:tc>
      </w:tr>
    </w:tbl>
    <w:p w14:paraId="33D97E24" w14:textId="6E38FA84" w:rsidR="008D58D2" w:rsidRDefault="008D58D2" w:rsidP="008D58D2">
      <w:pPr>
        <w:pStyle w:val="BodyText"/>
        <w:rPr>
          <w:b/>
          <w:sz w:val="20"/>
        </w:rPr>
      </w:pPr>
    </w:p>
    <w:p w14:paraId="39C8F08A" w14:textId="77777777" w:rsidR="008D58D2" w:rsidRDefault="008D58D2" w:rsidP="008D58D2">
      <w:pPr>
        <w:pStyle w:val="BodyText"/>
        <w:spacing w:before="3"/>
        <w:rPr>
          <w:b/>
          <w:sz w:val="20"/>
        </w:rPr>
      </w:pPr>
    </w:p>
    <w:p w14:paraId="238B4CEA" w14:textId="129C3982" w:rsidR="00E458AE" w:rsidRPr="00E458AE" w:rsidRDefault="00E458AE" w:rsidP="00E458AE">
      <w:pPr>
        <w:pStyle w:val="BodyText"/>
        <w:tabs>
          <w:tab w:val="left" w:pos="2299"/>
        </w:tabs>
        <w:ind w:right="1735"/>
        <w:rPr>
          <w:bCs/>
          <w:iCs/>
        </w:rPr>
      </w:pPr>
      <w:r>
        <w:rPr>
          <w:bCs/>
          <w:iCs/>
        </w:rPr>
        <w:br/>
      </w:r>
    </w:p>
    <w:p w14:paraId="65846359" w14:textId="31BAF723" w:rsidR="00E458AE" w:rsidRPr="00E458AE" w:rsidRDefault="00E458AE" w:rsidP="00E458AE">
      <w:pPr>
        <w:pStyle w:val="BodyText"/>
        <w:numPr>
          <w:ilvl w:val="0"/>
          <w:numId w:val="3"/>
        </w:numPr>
        <w:tabs>
          <w:tab w:val="left" w:pos="2299"/>
        </w:tabs>
        <w:ind w:right="1735"/>
        <w:rPr>
          <w:b/>
          <w:iCs/>
        </w:rPr>
      </w:pPr>
      <w:r w:rsidRPr="00E458AE">
        <w:rPr>
          <w:b/>
          <w:iCs/>
        </w:rPr>
        <w:t xml:space="preserve">PURPOSE: </w:t>
      </w:r>
      <w:r w:rsidRPr="00E458AE">
        <w:rPr>
          <w:b/>
          <w:iCs/>
        </w:rPr>
        <w:br/>
      </w:r>
      <w:r w:rsidRPr="00E458AE">
        <w:rPr>
          <w:bCs/>
          <w:iCs/>
        </w:rPr>
        <w:t xml:space="preserve">To clearly define </w:t>
      </w:r>
      <w:proofErr w:type="spellStart"/>
      <w:r w:rsidRPr="00E458AE">
        <w:rPr>
          <w:bCs/>
          <w:iCs/>
        </w:rPr>
        <w:t>Endazhi-Nitaawiging’s</w:t>
      </w:r>
      <w:proofErr w:type="spellEnd"/>
      <w:r w:rsidRPr="00E458AE">
        <w:rPr>
          <w:bCs/>
          <w:iCs/>
        </w:rPr>
        <w:t xml:space="preserve"> policy regarding the standards for close relatives working for the school in the same or different departments.</w:t>
      </w:r>
      <w:r w:rsidRPr="00E458AE">
        <w:rPr>
          <w:bCs/>
          <w:iCs/>
        </w:rPr>
        <w:br/>
      </w:r>
    </w:p>
    <w:p w14:paraId="51FCB14B" w14:textId="2DD0B9B9" w:rsidR="00E458AE" w:rsidRPr="00E458AE" w:rsidRDefault="00E458AE" w:rsidP="00E458AE">
      <w:pPr>
        <w:pStyle w:val="BodyText"/>
        <w:numPr>
          <w:ilvl w:val="0"/>
          <w:numId w:val="3"/>
        </w:numPr>
        <w:tabs>
          <w:tab w:val="left" w:pos="2299"/>
        </w:tabs>
        <w:ind w:right="1735"/>
        <w:rPr>
          <w:b/>
          <w:iCs/>
        </w:rPr>
      </w:pPr>
      <w:r w:rsidRPr="00E458AE">
        <w:rPr>
          <w:b/>
          <w:iCs/>
        </w:rPr>
        <w:t>POLICY:</w:t>
      </w:r>
    </w:p>
    <w:p w14:paraId="591C83B7" w14:textId="7C9ED659" w:rsidR="00E458AE" w:rsidRPr="00E458AE" w:rsidRDefault="00E458AE" w:rsidP="00E458AE">
      <w:pPr>
        <w:pStyle w:val="BodyText"/>
        <w:tabs>
          <w:tab w:val="left" w:pos="2299"/>
        </w:tabs>
        <w:ind w:right="1735"/>
        <w:rPr>
          <w:bCs/>
          <w:iCs/>
        </w:rPr>
      </w:pPr>
      <w:proofErr w:type="spellStart"/>
      <w:r>
        <w:rPr>
          <w:bCs/>
          <w:iCs/>
        </w:rPr>
        <w:t>Endazhi-Nitaawiging</w:t>
      </w:r>
      <w:proofErr w:type="spellEnd"/>
      <w:r w:rsidRPr="00E458AE">
        <w:rPr>
          <w:bCs/>
          <w:iCs/>
        </w:rPr>
        <w:t xml:space="preserve"> permits the employment of qualified</w:t>
      </w:r>
      <w:r>
        <w:rPr>
          <w:bCs/>
          <w:iCs/>
        </w:rPr>
        <w:t xml:space="preserve"> </w:t>
      </w:r>
      <w:r w:rsidRPr="00E458AE">
        <w:rPr>
          <w:bCs/>
          <w:iCs/>
        </w:rPr>
        <w:t>relatives of employees of the employee's household or immediate family as long as such</w:t>
      </w:r>
      <w:r>
        <w:rPr>
          <w:bCs/>
          <w:iCs/>
        </w:rPr>
        <w:t xml:space="preserve"> </w:t>
      </w:r>
      <w:r w:rsidRPr="00E458AE">
        <w:rPr>
          <w:bCs/>
          <w:iCs/>
        </w:rPr>
        <w:t>employment does not, in the opinion of the Academy, create actual conflicts of interest.</w:t>
      </w:r>
      <w:r>
        <w:rPr>
          <w:bCs/>
          <w:iCs/>
        </w:rPr>
        <w:t xml:space="preserve"> </w:t>
      </w:r>
      <w:r w:rsidRPr="00E458AE">
        <w:rPr>
          <w:bCs/>
          <w:iCs/>
        </w:rPr>
        <w:t>For purposes of this policy, "immediate family" is defined as a spouse, child, parent,</w:t>
      </w:r>
      <w:r>
        <w:rPr>
          <w:bCs/>
          <w:iCs/>
        </w:rPr>
        <w:t xml:space="preserve"> </w:t>
      </w:r>
      <w:r w:rsidRPr="00E458AE">
        <w:rPr>
          <w:bCs/>
          <w:iCs/>
        </w:rPr>
        <w:t>sibling, grandparent, grandchild, aunt, uncle, first cousin, corresponding in-law, "step"</w:t>
      </w:r>
      <w:r>
        <w:rPr>
          <w:bCs/>
          <w:iCs/>
        </w:rPr>
        <w:t xml:space="preserve"> </w:t>
      </w:r>
      <w:r w:rsidRPr="00E458AE">
        <w:rPr>
          <w:bCs/>
          <w:iCs/>
        </w:rPr>
        <w:t xml:space="preserve">relation or any member of the employee's household. </w:t>
      </w:r>
      <w:proofErr w:type="spellStart"/>
      <w:r>
        <w:rPr>
          <w:bCs/>
          <w:iCs/>
        </w:rPr>
        <w:t>Endazhi-Nitaawiging</w:t>
      </w:r>
      <w:proofErr w:type="spellEnd"/>
      <w:r>
        <w:rPr>
          <w:bCs/>
          <w:iCs/>
        </w:rPr>
        <w:t xml:space="preserve"> </w:t>
      </w:r>
      <w:r w:rsidRPr="00E458AE">
        <w:rPr>
          <w:bCs/>
          <w:iCs/>
        </w:rPr>
        <w:t>will use sound judgment in the placement of related employees in accordance</w:t>
      </w:r>
      <w:r>
        <w:rPr>
          <w:bCs/>
          <w:iCs/>
        </w:rPr>
        <w:t xml:space="preserve"> </w:t>
      </w:r>
      <w:r w:rsidRPr="00E458AE">
        <w:rPr>
          <w:bCs/>
          <w:iCs/>
        </w:rPr>
        <w:t>with the following guidelines:</w:t>
      </w:r>
      <w:r w:rsidRPr="00E458AE">
        <w:rPr>
          <w:bCs/>
          <w:iCs/>
        </w:rPr>
        <w:br/>
      </w:r>
    </w:p>
    <w:p w14:paraId="35F5D65A" w14:textId="263A62F3" w:rsidR="00E458AE" w:rsidRPr="00E458AE" w:rsidRDefault="00E458AE" w:rsidP="00E458AE">
      <w:pPr>
        <w:pStyle w:val="BodyText"/>
        <w:numPr>
          <w:ilvl w:val="0"/>
          <w:numId w:val="4"/>
        </w:numPr>
        <w:tabs>
          <w:tab w:val="left" w:pos="2299"/>
        </w:tabs>
        <w:ind w:right="1735"/>
        <w:rPr>
          <w:bCs/>
          <w:iCs/>
        </w:rPr>
      </w:pPr>
      <w:r w:rsidRPr="00E458AE">
        <w:rPr>
          <w:bCs/>
          <w:iCs/>
        </w:rPr>
        <w:t>Individuals who are related by blood, marriage, or reside in the same household</w:t>
      </w:r>
    </w:p>
    <w:p w14:paraId="332D107D" w14:textId="77777777" w:rsidR="00E458AE" w:rsidRPr="00E458AE" w:rsidRDefault="00E458AE" w:rsidP="00E458AE">
      <w:pPr>
        <w:pStyle w:val="BodyText"/>
        <w:tabs>
          <w:tab w:val="left" w:pos="2299"/>
        </w:tabs>
        <w:ind w:right="1735"/>
        <w:rPr>
          <w:bCs/>
          <w:iCs/>
        </w:rPr>
      </w:pPr>
      <w:r w:rsidRPr="00E458AE">
        <w:rPr>
          <w:bCs/>
          <w:iCs/>
        </w:rPr>
        <w:t>are permitted to work in the same Academy department, provided no direct</w:t>
      </w:r>
    </w:p>
    <w:p w14:paraId="62DE646C" w14:textId="77777777" w:rsidR="00E458AE" w:rsidRPr="00E458AE" w:rsidRDefault="00E458AE" w:rsidP="00E458AE">
      <w:pPr>
        <w:pStyle w:val="BodyText"/>
        <w:tabs>
          <w:tab w:val="left" w:pos="2299"/>
        </w:tabs>
        <w:ind w:right="1735"/>
        <w:rPr>
          <w:bCs/>
          <w:iCs/>
        </w:rPr>
      </w:pPr>
      <w:r w:rsidRPr="00E458AE">
        <w:rPr>
          <w:bCs/>
          <w:iCs/>
        </w:rPr>
        <w:t>reporting or supervisor to subordinate relationship exists. That is, no employee is</w:t>
      </w:r>
    </w:p>
    <w:p w14:paraId="08BF7B59" w14:textId="77777777" w:rsidR="00E458AE" w:rsidRPr="00E458AE" w:rsidRDefault="00E458AE" w:rsidP="00E458AE">
      <w:pPr>
        <w:pStyle w:val="BodyText"/>
        <w:tabs>
          <w:tab w:val="left" w:pos="2299"/>
        </w:tabs>
        <w:ind w:right="1735"/>
        <w:rPr>
          <w:bCs/>
          <w:iCs/>
        </w:rPr>
      </w:pPr>
      <w:r w:rsidRPr="00E458AE">
        <w:rPr>
          <w:bCs/>
          <w:iCs/>
        </w:rPr>
        <w:t>permitted to work within " the chain of command" when one relative's work</w:t>
      </w:r>
    </w:p>
    <w:p w14:paraId="34EBBF54" w14:textId="77777777" w:rsidR="00E458AE" w:rsidRPr="00E458AE" w:rsidRDefault="00E458AE" w:rsidP="00E458AE">
      <w:pPr>
        <w:pStyle w:val="BodyText"/>
        <w:tabs>
          <w:tab w:val="left" w:pos="2299"/>
        </w:tabs>
        <w:ind w:right="1735"/>
        <w:rPr>
          <w:bCs/>
          <w:iCs/>
        </w:rPr>
      </w:pPr>
      <w:r w:rsidRPr="00E458AE">
        <w:rPr>
          <w:bCs/>
          <w:iCs/>
        </w:rPr>
        <w:t xml:space="preserve">responsibilities, salary, hours, career progress, </w:t>
      </w:r>
      <w:proofErr w:type="gramStart"/>
      <w:r w:rsidRPr="00E458AE">
        <w:rPr>
          <w:bCs/>
          <w:iCs/>
        </w:rPr>
        <w:t>benefits</w:t>
      </w:r>
      <w:proofErr w:type="gramEnd"/>
      <w:r w:rsidRPr="00E458AE">
        <w:rPr>
          <w:bCs/>
          <w:iCs/>
        </w:rPr>
        <w:t xml:space="preserve"> or other terms and</w:t>
      </w:r>
    </w:p>
    <w:p w14:paraId="5317C39E" w14:textId="77777777" w:rsidR="00E458AE" w:rsidRPr="00E458AE" w:rsidRDefault="00E458AE" w:rsidP="00E458AE">
      <w:pPr>
        <w:pStyle w:val="BodyText"/>
        <w:tabs>
          <w:tab w:val="left" w:pos="2299"/>
        </w:tabs>
        <w:ind w:right="1735"/>
        <w:rPr>
          <w:bCs/>
          <w:iCs/>
        </w:rPr>
      </w:pPr>
      <w:r w:rsidRPr="00E458AE">
        <w:rPr>
          <w:bCs/>
          <w:iCs/>
        </w:rPr>
        <w:t>conditions of employment could be influenced by the other relative.</w:t>
      </w:r>
    </w:p>
    <w:p w14:paraId="51B876E3" w14:textId="03C22A4E" w:rsidR="00E458AE" w:rsidRPr="00E458AE" w:rsidRDefault="00E458AE" w:rsidP="00E458AE">
      <w:pPr>
        <w:pStyle w:val="BodyText"/>
        <w:numPr>
          <w:ilvl w:val="0"/>
          <w:numId w:val="4"/>
        </w:numPr>
        <w:tabs>
          <w:tab w:val="left" w:pos="2299"/>
        </w:tabs>
        <w:ind w:right="1735"/>
        <w:rPr>
          <w:bCs/>
          <w:iCs/>
        </w:rPr>
      </w:pPr>
      <w:r w:rsidRPr="00E458AE">
        <w:rPr>
          <w:bCs/>
          <w:iCs/>
        </w:rPr>
        <w:t>Related employees may have no influence over the wages, hours, benefits, career</w:t>
      </w:r>
    </w:p>
    <w:p w14:paraId="2CB5D149" w14:textId="77777777" w:rsidR="00E458AE" w:rsidRPr="00E458AE" w:rsidRDefault="00E458AE" w:rsidP="00E458AE">
      <w:pPr>
        <w:pStyle w:val="BodyText"/>
        <w:tabs>
          <w:tab w:val="left" w:pos="2299"/>
        </w:tabs>
        <w:ind w:right="1735"/>
        <w:rPr>
          <w:bCs/>
          <w:iCs/>
        </w:rPr>
      </w:pPr>
      <w:r w:rsidRPr="00E458AE">
        <w:rPr>
          <w:bCs/>
          <w:iCs/>
        </w:rPr>
        <w:t>progress and other terms and conditions of the other related staff members.</w:t>
      </w:r>
    </w:p>
    <w:p w14:paraId="562AA9CC" w14:textId="37AFD35D" w:rsidR="00E458AE" w:rsidRPr="00E458AE" w:rsidRDefault="00E458AE" w:rsidP="00E458AE">
      <w:pPr>
        <w:pStyle w:val="BodyText"/>
        <w:numPr>
          <w:ilvl w:val="0"/>
          <w:numId w:val="4"/>
        </w:numPr>
        <w:tabs>
          <w:tab w:val="left" w:pos="2299"/>
        </w:tabs>
        <w:ind w:right="1735"/>
        <w:rPr>
          <w:bCs/>
          <w:iCs/>
        </w:rPr>
      </w:pPr>
      <w:r w:rsidRPr="00E458AE">
        <w:rPr>
          <w:bCs/>
          <w:iCs/>
        </w:rPr>
        <w:t>Employees who marry while employed, or become part of the same household are</w:t>
      </w:r>
    </w:p>
    <w:p w14:paraId="3DC0CD81" w14:textId="77777777" w:rsidR="00E458AE" w:rsidRPr="00E458AE" w:rsidRDefault="00E458AE" w:rsidP="00E458AE">
      <w:pPr>
        <w:pStyle w:val="BodyText"/>
        <w:tabs>
          <w:tab w:val="left" w:pos="2299"/>
        </w:tabs>
        <w:ind w:right="1735"/>
        <w:rPr>
          <w:bCs/>
          <w:iCs/>
        </w:rPr>
      </w:pPr>
      <w:r w:rsidRPr="00E458AE">
        <w:rPr>
          <w:bCs/>
          <w:iCs/>
        </w:rPr>
        <w:t>treated in accordance with these guidelines. That is, if in the opinion of the</w:t>
      </w:r>
    </w:p>
    <w:p w14:paraId="289891E6" w14:textId="77777777" w:rsidR="00E458AE" w:rsidRPr="00E458AE" w:rsidRDefault="00E458AE" w:rsidP="00E458AE">
      <w:pPr>
        <w:pStyle w:val="BodyText"/>
        <w:tabs>
          <w:tab w:val="left" w:pos="2299"/>
        </w:tabs>
        <w:ind w:right="1735"/>
        <w:rPr>
          <w:bCs/>
          <w:iCs/>
        </w:rPr>
      </w:pPr>
      <w:r w:rsidRPr="00E458AE">
        <w:rPr>
          <w:bCs/>
          <w:iCs/>
        </w:rPr>
        <w:t xml:space="preserve">Academy, a conflict arises </w:t>
      </w:r>
      <w:proofErr w:type="gramStart"/>
      <w:r w:rsidRPr="00E458AE">
        <w:rPr>
          <w:bCs/>
          <w:iCs/>
        </w:rPr>
        <w:t>as a result of</w:t>
      </w:r>
      <w:proofErr w:type="gramEnd"/>
      <w:r w:rsidRPr="00E458AE">
        <w:rPr>
          <w:bCs/>
          <w:iCs/>
        </w:rPr>
        <w:t xml:space="preserve"> the relationship, one of the employees</w:t>
      </w:r>
    </w:p>
    <w:p w14:paraId="0021FBB3" w14:textId="4188742D" w:rsidR="00E458AE" w:rsidRPr="00E458AE" w:rsidRDefault="00E458AE" w:rsidP="00E458AE">
      <w:pPr>
        <w:pStyle w:val="BodyText"/>
        <w:tabs>
          <w:tab w:val="left" w:pos="2299"/>
        </w:tabs>
        <w:ind w:right="1735"/>
        <w:rPr>
          <w:bCs/>
          <w:iCs/>
        </w:rPr>
      </w:pPr>
      <w:r w:rsidRPr="00E458AE">
        <w:rPr>
          <w:bCs/>
          <w:iCs/>
        </w:rPr>
        <w:t>may be transferred at the earliest practicable time.</w:t>
      </w:r>
      <w:r w:rsidRPr="00E458AE">
        <w:rPr>
          <w:bCs/>
          <w:iCs/>
        </w:rPr>
        <w:br/>
      </w:r>
    </w:p>
    <w:p w14:paraId="32C1BF05" w14:textId="77777777" w:rsidR="00E458AE" w:rsidRPr="00E458AE" w:rsidRDefault="00E458AE" w:rsidP="00E458AE">
      <w:pPr>
        <w:pStyle w:val="BodyText"/>
        <w:tabs>
          <w:tab w:val="left" w:pos="2299"/>
        </w:tabs>
        <w:ind w:right="1735"/>
        <w:rPr>
          <w:bCs/>
          <w:iCs/>
        </w:rPr>
      </w:pPr>
      <w:r w:rsidRPr="00E458AE">
        <w:rPr>
          <w:bCs/>
          <w:iCs/>
        </w:rPr>
        <w:t>Any exceptions to this policy must be approved by the Board of Education at the time of</w:t>
      </w:r>
    </w:p>
    <w:p w14:paraId="53622DE9" w14:textId="2ADDA735" w:rsidR="008D58D2" w:rsidRPr="00E458AE" w:rsidRDefault="00E458AE" w:rsidP="00E458AE">
      <w:pPr>
        <w:pStyle w:val="BodyText"/>
        <w:tabs>
          <w:tab w:val="left" w:pos="2299"/>
        </w:tabs>
        <w:ind w:right="1735"/>
        <w:rPr>
          <w:bCs/>
          <w:iCs/>
        </w:rPr>
      </w:pPr>
      <w:r w:rsidRPr="00E458AE">
        <w:rPr>
          <w:bCs/>
          <w:iCs/>
        </w:rPr>
        <w:t>hiring and prior to contract renewal.</w:t>
      </w:r>
    </w:p>
    <w:p w14:paraId="725BDC83" w14:textId="77777777" w:rsidR="008D58D2" w:rsidRPr="008D58D2" w:rsidRDefault="008D58D2" w:rsidP="008D58D2">
      <w:pPr>
        <w:pStyle w:val="BodyText"/>
        <w:rPr>
          <w:b/>
        </w:rPr>
      </w:pPr>
    </w:p>
    <w:p w14:paraId="49277FA1" w14:textId="480DC3EF" w:rsidR="008D58D2" w:rsidRPr="008D58D2" w:rsidRDefault="008D58D2" w:rsidP="008D58D2">
      <w:pPr>
        <w:tabs>
          <w:tab w:val="left" w:pos="2299"/>
        </w:tabs>
        <w:ind w:left="140"/>
        <w:rPr>
          <w:rFonts w:ascii="Times New Roman" w:hAnsi="Times New Roman" w:cs="Times New Roman"/>
          <w:b/>
        </w:rPr>
      </w:pPr>
      <w:r w:rsidRPr="008D58D2">
        <w:rPr>
          <w:rFonts w:ascii="Times New Roman" w:hAnsi="Times New Roman" w:cs="Times New Roman"/>
          <w:b/>
          <w:i/>
          <w:spacing w:val="-2"/>
        </w:rPr>
        <w:t>Adopted:</w:t>
      </w:r>
      <w:r w:rsidR="00B10E58">
        <w:rPr>
          <w:rFonts w:ascii="Times New Roman" w:hAnsi="Times New Roman" w:cs="Times New Roman"/>
          <w:b/>
          <w:i/>
        </w:rPr>
        <w:t xml:space="preserve">    </w:t>
      </w:r>
      <w:r w:rsidR="00B10E58">
        <w:rPr>
          <w:rFonts w:ascii="Times New Roman" w:hAnsi="Times New Roman" w:cs="Times New Roman"/>
          <w:b/>
          <w:iCs/>
          <w:spacing w:val="-2"/>
        </w:rPr>
        <w:t>July 27</w:t>
      </w:r>
      <w:r w:rsidR="00B10E58" w:rsidRPr="00430EA9">
        <w:rPr>
          <w:rFonts w:ascii="Times New Roman" w:hAnsi="Times New Roman" w:cs="Times New Roman"/>
          <w:b/>
          <w:iCs/>
          <w:spacing w:val="-2"/>
          <w:vertAlign w:val="superscript"/>
        </w:rPr>
        <w:t>th</w:t>
      </w:r>
      <w:r w:rsidR="00B10E58">
        <w:rPr>
          <w:rFonts w:ascii="Times New Roman" w:hAnsi="Times New Roman" w:cs="Times New Roman"/>
          <w:b/>
          <w:iCs/>
          <w:spacing w:val="-2"/>
        </w:rPr>
        <w:t>, 2022</w:t>
      </w:r>
    </w:p>
    <w:p w14:paraId="0ECF0AD1" w14:textId="77777777" w:rsidR="008D58D2" w:rsidRDefault="008D58D2" w:rsidP="008D58D2">
      <w:pPr>
        <w:pStyle w:val="BodyText"/>
        <w:tabs>
          <w:tab w:val="left" w:pos="2299"/>
        </w:tabs>
        <w:ind w:right="1735"/>
      </w:pPr>
    </w:p>
    <w:sectPr w:rsidR="008D58D2" w:rsidSect="008D58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694E"/>
    <w:multiLevelType w:val="hybridMultilevel"/>
    <w:tmpl w:val="5330AEE8"/>
    <w:lvl w:ilvl="0" w:tplc="6E645BC6">
      <w:start w:val="1"/>
      <w:numFmt w:val="upperRoman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4608FA40">
      <w:start w:val="1"/>
      <w:numFmt w:val="upperLetter"/>
      <w:lvlText w:val="%2.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B527DA0">
      <w:numFmt w:val="bullet"/>
      <w:lvlText w:val="•"/>
      <w:lvlJc w:val="left"/>
      <w:pPr>
        <w:ind w:left="2635" w:hanging="720"/>
      </w:pPr>
      <w:rPr>
        <w:rFonts w:hint="default"/>
        <w:lang w:val="en-US" w:eastAsia="en-US" w:bidi="ar-SA"/>
      </w:rPr>
    </w:lvl>
    <w:lvl w:ilvl="3" w:tplc="D9E02312">
      <w:numFmt w:val="bullet"/>
      <w:lvlText w:val="•"/>
      <w:lvlJc w:val="left"/>
      <w:pPr>
        <w:ind w:left="3691" w:hanging="720"/>
      </w:pPr>
      <w:rPr>
        <w:rFonts w:hint="default"/>
        <w:lang w:val="en-US" w:eastAsia="en-US" w:bidi="ar-SA"/>
      </w:rPr>
    </w:lvl>
    <w:lvl w:ilvl="4" w:tplc="F3EE9C24"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 w:tplc="921E0BB6">
      <w:numFmt w:val="bullet"/>
      <w:lvlText w:val="•"/>
      <w:lvlJc w:val="left"/>
      <w:pPr>
        <w:ind w:left="5802" w:hanging="720"/>
      </w:pPr>
      <w:rPr>
        <w:rFonts w:hint="default"/>
        <w:lang w:val="en-US" w:eastAsia="en-US" w:bidi="ar-SA"/>
      </w:rPr>
    </w:lvl>
    <w:lvl w:ilvl="6" w:tplc="AC524F24">
      <w:numFmt w:val="bullet"/>
      <w:lvlText w:val="•"/>
      <w:lvlJc w:val="left"/>
      <w:pPr>
        <w:ind w:left="6857" w:hanging="720"/>
      </w:pPr>
      <w:rPr>
        <w:rFonts w:hint="default"/>
        <w:lang w:val="en-US" w:eastAsia="en-US" w:bidi="ar-SA"/>
      </w:rPr>
    </w:lvl>
    <w:lvl w:ilvl="7" w:tplc="A34AECDC">
      <w:numFmt w:val="bullet"/>
      <w:lvlText w:val="•"/>
      <w:lvlJc w:val="left"/>
      <w:pPr>
        <w:ind w:left="7913" w:hanging="720"/>
      </w:pPr>
      <w:rPr>
        <w:rFonts w:hint="default"/>
        <w:lang w:val="en-US" w:eastAsia="en-US" w:bidi="ar-SA"/>
      </w:rPr>
    </w:lvl>
    <w:lvl w:ilvl="8" w:tplc="4ABC5B80">
      <w:numFmt w:val="bullet"/>
      <w:lvlText w:val="•"/>
      <w:lvlJc w:val="left"/>
      <w:pPr>
        <w:ind w:left="896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C3C63EA"/>
    <w:multiLevelType w:val="hybridMultilevel"/>
    <w:tmpl w:val="E278D080"/>
    <w:lvl w:ilvl="0" w:tplc="8812A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72529"/>
    <w:multiLevelType w:val="hybridMultilevel"/>
    <w:tmpl w:val="9C8AEF6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7A0D115B"/>
    <w:multiLevelType w:val="hybridMultilevel"/>
    <w:tmpl w:val="E260431E"/>
    <w:lvl w:ilvl="0" w:tplc="6262A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16643">
    <w:abstractNumId w:val="0"/>
  </w:num>
  <w:num w:numId="2" w16cid:durableId="537551709">
    <w:abstractNumId w:val="3"/>
  </w:num>
  <w:num w:numId="3" w16cid:durableId="789325924">
    <w:abstractNumId w:val="1"/>
  </w:num>
  <w:num w:numId="4" w16cid:durableId="1358578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D5"/>
    <w:rsid w:val="00031207"/>
    <w:rsid w:val="00033E84"/>
    <w:rsid w:val="00044EA9"/>
    <w:rsid w:val="00096686"/>
    <w:rsid w:val="00116FFA"/>
    <w:rsid w:val="001350EA"/>
    <w:rsid w:val="001408E0"/>
    <w:rsid w:val="00147EBB"/>
    <w:rsid w:val="001A6E49"/>
    <w:rsid w:val="001C28F4"/>
    <w:rsid w:val="001E1CD1"/>
    <w:rsid w:val="00234030"/>
    <w:rsid w:val="00242137"/>
    <w:rsid w:val="00275878"/>
    <w:rsid w:val="002F4F52"/>
    <w:rsid w:val="003E2014"/>
    <w:rsid w:val="003F13BD"/>
    <w:rsid w:val="00412143"/>
    <w:rsid w:val="00412855"/>
    <w:rsid w:val="00486D10"/>
    <w:rsid w:val="00527AFC"/>
    <w:rsid w:val="005318B2"/>
    <w:rsid w:val="0057596D"/>
    <w:rsid w:val="005805AD"/>
    <w:rsid w:val="00587558"/>
    <w:rsid w:val="00617769"/>
    <w:rsid w:val="006A5843"/>
    <w:rsid w:val="00737D8C"/>
    <w:rsid w:val="00783699"/>
    <w:rsid w:val="007B1726"/>
    <w:rsid w:val="007C5B3E"/>
    <w:rsid w:val="008A395C"/>
    <w:rsid w:val="008D58D2"/>
    <w:rsid w:val="00944FA7"/>
    <w:rsid w:val="009713CA"/>
    <w:rsid w:val="00A45E29"/>
    <w:rsid w:val="00A55DA3"/>
    <w:rsid w:val="00AC2509"/>
    <w:rsid w:val="00AE3679"/>
    <w:rsid w:val="00B10E58"/>
    <w:rsid w:val="00B156BA"/>
    <w:rsid w:val="00B21BF3"/>
    <w:rsid w:val="00BD21F5"/>
    <w:rsid w:val="00C01226"/>
    <w:rsid w:val="00C32DDA"/>
    <w:rsid w:val="00CC2DD5"/>
    <w:rsid w:val="00D22CF8"/>
    <w:rsid w:val="00D53B98"/>
    <w:rsid w:val="00D667D6"/>
    <w:rsid w:val="00D708B1"/>
    <w:rsid w:val="00DB442B"/>
    <w:rsid w:val="00E458AE"/>
    <w:rsid w:val="00E7648C"/>
    <w:rsid w:val="00E95A55"/>
    <w:rsid w:val="00F0199E"/>
    <w:rsid w:val="00F1226F"/>
    <w:rsid w:val="00F3519C"/>
    <w:rsid w:val="00F82765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4107"/>
  <w15:chartTrackingRefBased/>
  <w15:docId w15:val="{9A9F537E-5770-1D48-A130-009DD55A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8D2"/>
    <w:pPr>
      <w:widowControl w:val="0"/>
      <w:autoSpaceDE w:val="0"/>
      <w:autoSpaceDN w:val="0"/>
      <w:ind w:left="860" w:hanging="7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58D2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8D58D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D58D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D58D2"/>
    <w:pPr>
      <w:widowControl w:val="0"/>
      <w:autoSpaceDE w:val="0"/>
      <w:autoSpaceDN w:val="0"/>
      <w:ind w:left="1580" w:right="136" w:hanging="72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Serena J</dc:creator>
  <cp:keywords/>
  <dc:description/>
  <cp:lastModifiedBy>Graves, Serena J</cp:lastModifiedBy>
  <cp:revision>3</cp:revision>
  <dcterms:created xsi:type="dcterms:W3CDTF">2022-07-20T19:11:00Z</dcterms:created>
  <dcterms:modified xsi:type="dcterms:W3CDTF">2022-08-04T20:32:00Z</dcterms:modified>
</cp:coreProperties>
</file>